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B13" w:rsidRDefault="001E1499">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13"/>
      <w:bookmarkStart w:id="5" w:name="OLE_LINK34"/>
      <w:r>
        <w:rPr>
          <w:rFonts w:ascii="Arial" w:eastAsia="宋体" w:hAnsi="Arial" w:hint="eastAsia"/>
          <w:b/>
          <w:lang w:eastAsia="ja-JP"/>
        </w:rPr>
        <w:t>3GPP TSG RAN WG1 #</w:t>
      </w:r>
      <w:r>
        <w:rPr>
          <w:rFonts w:ascii="Arial" w:eastAsia="宋体" w:hAnsi="Arial" w:hint="eastAsia"/>
          <w:b/>
        </w:rPr>
        <w:t>10</w:t>
      </w:r>
      <w:r>
        <w:rPr>
          <w:rFonts w:ascii="Arial" w:eastAsia="宋体" w:hAnsi="Arial"/>
          <w:b/>
        </w:rPr>
        <w:t>9</w:t>
      </w:r>
      <w:r>
        <w:rPr>
          <w:rFonts w:ascii="Arial" w:eastAsia="宋体" w:hAnsi="Arial" w:hint="eastAsia"/>
          <w:b/>
        </w:rPr>
        <w:t xml:space="preserve">-e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sidR="002F6A3B" w:rsidRPr="002F6A3B">
        <w:rPr>
          <w:rFonts w:ascii="Arial" w:eastAsia="宋体" w:hAnsi="Arial"/>
          <w:b/>
        </w:rPr>
        <w:t>R1-220362</w:t>
      </w:r>
      <w:r w:rsidR="001D0936">
        <w:rPr>
          <w:rFonts w:ascii="Arial" w:eastAsia="宋体" w:hAnsi="Arial"/>
          <w:b/>
        </w:rPr>
        <w:t>1</w:t>
      </w:r>
      <w:r>
        <w:rPr>
          <w:rFonts w:ascii="Arial" w:eastAsia="宋体" w:hAnsi="Arial" w:hint="eastAsia"/>
          <w:b/>
          <w:lang w:eastAsia="ja-JP"/>
        </w:rPr>
        <w:t xml:space="preserve">                                                                     </w:t>
      </w:r>
    </w:p>
    <w:bookmarkEnd w:id="0"/>
    <w:p w:rsidR="00084B13" w:rsidRDefault="001E1499">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hint="eastAsia"/>
          <w:b/>
        </w:rPr>
        <w:t>e-Meeting</w:t>
      </w:r>
      <w:proofErr w:type="gramEnd"/>
      <w:r>
        <w:rPr>
          <w:rFonts w:ascii="Arial" w:hAnsi="Arial" w:cs="Arial" w:hint="eastAsia"/>
          <w:b/>
        </w:rPr>
        <w:t xml:space="preserve">, </w:t>
      </w:r>
      <w:r>
        <w:rPr>
          <w:rFonts w:ascii="Arial" w:hAnsi="Arial" w:cs="Arial"/>
          <w:b/>
        </w:rPr>
        <w:t>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xml:space="preserve">, </w:t>
      </w:r>
      <w:r>
        <w:rPr>
          <w:rFonts w:ascii="Arial" w:hAnsi="Arial" w:cs="Arial" w:hint="eastAsia"/>
          <w:b/>
        </w:rPr>
        <w:t>2022</w:t>
      </w:r>
    </w:p>
    <w:p w:rsidR="00084B13" w:rsidRDefault="00084B13">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bookmarkEnd w:id="1"/>
    <w:bookmarkEnd w:id="2"/>
    <w:bookmarkEnd w:id="3"/>
    <w:bookmarkEnd w:id="4"/>
    <w:bookmarkEnd w:id="5"/>
    <w:p w:rsidR="004E46C1" w:rsidRDefault="004E46C1" w:rsidP="004E46C1">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4E46C1" w:rsidRDefault="004E46C1" w:rsidP="004E46C1">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bookmarkStart w:id="6" w:name="OLE_LINK2"/>
      <w:r w:rsidRPr="00377406">
        <w:rPr>
          <w:rFonts w:ascii="Arial" w:eastAsia="宋体" w:hAnsi="Arial"/>
          <w:b/>
        </w:rPr>
        <w:t>Discussion on UE features for Rel-17 positioning</w:t>
      </w:r>
    </w:p>
    <w:bookmarkEnd w:id="6"/>
    <w:p w:rsidR="004E46C1" w:rsidRDefault="004E46C1" w:rsidP="004E46C1">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8.16.</w:t>
      </w:r>
      <w:r>
        <w:rPr>
          <w:rFonts w:ascii="Arial" w:eastAsia="宋体" w:hAnsi="Arial"/>
          <w:b/>
        </w:rPr>
        <w:t>5</w:t>
      </w:r>
    </w:p>
    <w:p w:rsidR="004E46C1" w:rsidRDefault="004E46C1" w:rsidP="004E46C1">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4E46C1" w:rsidRDefault="004E46C1" w:rsidP="004E46C1">
      <w:pPr>
        <w:pStyle w:val="1"/>
        <w:numPr>
          <w:ilvl w:val="0"/>
          <w:numId w:val="3"/>
        </w:numPr>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Introduction</w:t>
      </w:r>
    </w:p>
    <w:p w:rsidR="004E46C1" w:rsidRDefault="004E46C1" w:rsidP="004E46C1">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discussion </w:t>
      </w:r>
      <w:r>
        <w:rPr>
          <w:rFonts w:ascii="Times New Roman" w:hAnsi="Times New Roman"/>
          <w:sz w:val="20"/>
          <w:szCs w:val="20"/>
        </w:rPr>
        <w:t>in previous meeting</w:t>
      </w:r>
      <w:r>
        <w:rPr>
          <w:rFonts w:ascii="Times New Roman" w:hAnsi="Times New Roman" w:hint="eastAsia"/>
          <w:sz w:val="20"/>
          <w:szCs w:val="20"/>
        </w:rPr>
        <w:t>s</w:t>
      </w:r>
      <w:r>
        <w:rPr>
          <w:rFonts w:ascii="Times New Roman" w:hAnsi="Times New Roman"/>
          <w:sz w:val="20"/>
          <w:szCs w:val="20"/>
        </w:rPr>
        <w:t xml:space="preserve">, an updated UE feature list has been endorsed for NR [1]. </w:t>
      </w:r>
      <w:r>
        <w:rPr>
          <w:rFonts w:ascii="Times New Roman" w:hAnsi="Times New Roman" w:hint="eastAsia"/>
          <w:sz w:val="20"/>
          <w:szCs w:val="20"/>
        </w:rPr>
        <w:t>In this contribution, we provide our views on</w:t>
      </w:r>
      <w:r>
        <w:rPr>
          <w:rFonts w:ascii="Times New Roman" w:hAnsi="Times New Roman"/>
          <w:sz w:val="20"/>
          <w:szCs w:val="20"/>
        </w:rPr>
        <w:t xml:space="preserve"> some detailed issues for Rel-17 NR positioning. </w:t>
      </w:r>
    </w:p>
    <w:p w:rsidR="004E46C1" w:rsidRDefault="004E46C1" w:rsidP="004E46C1">
      <w:pPr>
        <w:pStyle w:val="1"/>
        <w:numPr>
          <w:ilvl w:val="0"/>
          <w:numId w:val="3"/>
        </w:numPr>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UE features for Rel-17 NR positioning</w:t>
      </w:r>
    </w:p>
    <w:p w:rsidR="004E46C1" w:rsidRDefault="004E46C1" w:rsidP="00276F3F">
      <w:pPr>
        <w:pStyle w:val="2"/>
        <w:numPr>
          <w:ilvl w:val="0"/>
          <w:numId w:val="0"/>
        </w:numPr>
        <w:snapToGrid w:val="0"/>
        <w:spacing w:beforeLines="50" w:before="180" w:afterLines="50" w:after="180" w:line="240" w:lineRule="auto"/>
        <w:ind w:left="718" w:hanging="576"/>
        <w:rPr>
          <w:rFonts w:ascii="Times New Roman" w:hAnsi="Times New Roman"/>
          <w:b w:val="0"/>
          <w:bCs w:val="0"/>
          <w:sz w:val="20"/>
          <w:szCs w:val="20"/>
        </w:rPr>
      </w:pPr>
      <w:r w:rsidRPr="004464B0">
        <w:rPr>
          <w:rFonts w:ascii="Times New Roman" w:hAnsi="Times New Roman"/>
          <w:sz w:val="20"/>
          <w:szCs w:val="20"/>
        </w:rPr>
        <w:t>FG 27-3-</w:t>
      </w:r>
      <w:r>
        <w:rPr>
          <w:rFonts w:ascii="Times New Roman" w:hAnsi="Times New Roman"/>
          <w:sz w:val="20"/>
          <w:szCs w:val="20"/>
        </w:rPr>
        <w:t>1 M-sample measurements</w:t>
      </w:r>
    </w:p>
    <w:p w:rsidR="004E46C1" w:rsidRDefault="004E46C1" w:rsidP="004E46C1">
      <w:pPr>
        <w:snapToGrid w:val="0"/>
        <w:spacing w:beforeLines="50" w:before="180" w:afterLines="50" w:after="180" w:line="240" w:lineRule="auto"/>
        <w:jc w:val="both"/>
        <w:rPr>
          <w:rFonts w:ascii="Times New Roman" w:hAnsi="Times New Roman"/>
          <w:sz w:val="20"/>
          <w:szCs w:val="20"/>
        </w:rPr>
      </w:pPr>
      <w:r w:rsidRPr="00C82FB0">
        <w:rPr>
          <w:rFonts w:ascii="Times New Roman" w:hAnsi="Times New Roman" w:hint="eastAsia"/>
          <w:sz w:val="20"/>
          <w:szCs w:val="20"/>
        </w:rPr>
        <w:t>I</w:t>
      </w:r>
      <w:r w:rsidRPr="00C82FB0">
        <w:rPr>
          <w:rFonts w:ascii="Times New Roman" w:hAnsi="Times New Roman"/>
          <w:sz w:val="20"/>
          <w:szCs w:val="20"/>
        </w:rPr>
        <w:t xml:space="preserve">n RAN4#102-e meeting, </w:t>
      </w:r>
      <w:r>
        <w:rPr>
          <w:rFonts w:ascii="Times New Roman" w:hAnsi="Times New Roman"/>
          <w:sz w:val="20"/>
          <w:szCs w:val="20"/>
        </w:rPr>
        <w:t xml:space="preserve">the following agreements were achieved where </w:t>
      </w:r>
      <w:proofErr w:type="spellStart"/>
      <w:r w:rsidRPr="00643F8B">
        <w:rPr>
          <w:rFonts w:ascii="Times New Roman" w:hAnsi="Times New Roman"/>
          <w:i/>
          <w:sz w:val="20"/>
          <w:szCs w:val="20"/>
        </w:rPr>
        <w:t>N</w:t>
      </w:r>
      <w:r w:rsidRPr="00643F8B">
        <w:rPr>
          <w:rFonts w:ascii="Times New Roman" w:hAnsi="Times New Roman"/>
          <w:i/>
          <w:sz w:val="20"/>
          <w:szCs w:val="20"/>
          <w:vertAlign w:val="subscript"/>
        </w:rPr>
        <w:t>sample</w:t>
      </w:r>
      <w:proofErr w:type="spellEnd"/>
      <w:r>
        <w:rPr>
          <w:rFonts w:ascii="Times New Roman" w:hAnsi="Times New Roman"/>
          <w:sz w:val="20"/>
          <w:szCs w:val="20"/>
        </w:rPr>
        <w:t xml:space="preserve"> can be either 1 or 2 depending on whether the condition is met or not. </w:t>
      </w:r>
    </w:p>
    <w:tbl>
      <w:tblPr>
        <w:tblStyle w:val="af2"/>
        <w:tblW w:w="0" w:type="auto"/>
        <w:tblLook w:val="04A0" w:firstRow="1" w:lastRow="0" w:firstColumn="1" w:lastColumn="0" w:noHBand="0" w:noVBand="1"/>
      </w:tblPr>
      <w:tblGrid>
        <w:gridCol w:w="9017"/>
      </w:tblGrid>
      <w:tr w:rsidR="004E46C1" w:rsidTr="00F0632F">
        <w:tc>
          <w:tcPr>
            <w:tcW w:w="9017" w:type="dxa"/>
          </w:tcPr>
          <w:p w:rsidR="004E46C1" w:rsidRPr="00C82FB0" w:rsidRDefault="004E46C1" w:rsidP="00F0632F">
            <w:pPr>
              <w:pStyle w:val="3GPPAgreements"/>
              <w:numPr>
                <w:ilvl w:val="0"/>
                <w:numId w:val="0"/>
              </w:numPr>
              <w:snapToGrid w:val="0"/>
              <w:spacing w:before="0" w:after="0"/>
              <w:ind w:left="360" w:hanging="360"/>
              <w:rPr>
                <w:rFonts w:ascii="Times New Roman" w:eastAsia="宋体" w:hAnsi="Times New Roman"/>
                <w:sz w:val="20"/>
                <w:szCs w:val="20"/>
              </w:rPr>
            </w:pPr>
            <w:r w:rsidRPr="00C82FB0">
              <w:rPr>
                <w:rFonts w:ascii="Times New Roman" w:hAnsi="Times New Roman"/>
                <w:sz w:val="20"/>
                <w:szCs w:val="20"/>
              </w:rPr>
              <w:t>Agreements</w:t>
            </w:r>
            <w:r>
              <w:rPr>
                <w:rFonts w:ascii="Times New Roman" w:hAnsi="Times New Roman"/>
                <w:sz w:val="20"/>
                <w:szCs w:val="20"/>
              </w:rPr>
              <w:t xml:space="preserve"> in RAN4#102-e</w:t>
            </w:r>
            <w:r w:rsidRPr="00C82FB0">
              <w:rPr>
                <w:rFonts w:ascii="Times New Roman" w:hAnsi="Times New Roman"/>
                <w:i/>
                <w:iCs/>
                <w:sz w:val="20"/>
                <w:szCs w:val="20"/>
              </w:rPr>
              <w:t>:</w:t>
            </w:r>
          </w:p>
          <w:p w:rsidR="004E46C1" w:rsidRPr="00C82FB0" w:rsidRDefault="004E46C1" w:rsidP="004E46C1">
            <w:pPr>
              <w:pStyle w:val="3GPPAgreements"/>
              <w:numPr>
                <w:ilvl w:val="0"/>
                <w:numId w:val="9"/>
              </w:numPr>
              <w:autoSpaceDE w:val="0"/>
              <w:autoSpaceDN w:val="0"/>
              <w:adjustRightInd w:val="0"/>
              <w:snapToGrid w:val="0"/>
              <w:spacing w:before="0" w:beforeAutospacing="0" w:after="0" w:afterAutospacing="0"/>
              <w:ind w:left="1320" w:hanging="440"/>
              <w:rPr>
                <w:rFonts w:ascii="Times New Roman" w:hAnsi="Times New Roman"/>
                <w:sz w:val="20"/>
                <w:szCs w:val="20"/>
              </w:rPr>
            </w:pPr>
            <w:r w:rsidRPr="00C82FB0">
              <w:rPr>
                <w:rFonts w:ascii="Times New Roman" w:hAnsi="Times New Roman"/>
                <w:sz w:val="20"/>
                <w:szCs w:val="20"/>
              </w:rPr>
              <w:t xml:space="preserve">Additional samples for AGC for PRS measurements are not required in case the following conditions are met: </w:t>
            </w:r>
          </w:p>
          <w:p w:rsidR="004E46C1" w:rsidRPr="00C82FB0" w:rsidRDefault="004E46C1" w:rsidP="004E46C1">
            <w:pPr>
              <w:pStyle w:val="3GPPAgreements"/>
              <w:numPr>
                <w:ilvl w:val="0"/>
                <w:numId w:val="9"/>
              </w:numPr>
              <w:autoSpaceDE w:val="0"/>
              <w:autoSpaceDN w:val="0"/>
              <w:adjustRightInd w:val="0"/>
              <w:snapToGrid w:val="0"/>
              <w:spacing w:before="0" w:beforeAutospacing="0" w:after="0" w:afterAutospacing="0"/>
              <w:ind w:left="1320" w:hanging="440"/>
              <w:rPr>
                <w:rFonts w:ascii="Times New Roman" w:hAnsi="Times New Roman"/>
                <w:sz w:val="20"/>
                <w:szCs w:val="20"/>
              </w:rPr>
            </w:pPr>
            <w:r w:rsidRPr="00C82FB0">
              <w:rPr>
                <w:rFonts w:ascii="Times New Roman" w:hAnsi="Times New Roman"/>
                <w:sz w:val="20"/>
                <w:szCs w:val="20"/>
              </w:rPr>
              <w:t xml:space="preserve">PRS bandwidth is within the active BWP and </w:t>
            </w:r>
          </w:p>
          <w:p w:rsidR="004E46C1" w:rsidRPr="00C82FB0" w:rsidRDefault="004E46C1" w:rsidP="004E46C1">
            <w:pPr>
              <w:pStyle w:val="3GPPAgreements"/>
              <w:numPr>
                <w:ilvl w:val="0"/>
                <w:numId w:val="9"/>
              </w:numPr>
              <w:autoSpaceDE w:val="0"/>
              <w:autoSpaceDN w:val="0"/>
              <w:adjustRightInd w:val="0"/>
              <w:snapToGrid w:val="0"/>
              <w:spacing w:before="0" w:beforeAutospacing="0" w:after="0" w:afterAutospacing="0"/>
              <w:ind w:left="1320" w:hanging="440"/>
              <w:rPr>
                <w:rFonts w:ascii="Times New Roman" w:hAnsi="Times New Roman"/>
                <w:sz w:val="20"/>
                <w:szCs w:val="20"/>
              </w:rPr>
            </w:pPr>
            <w:r w:rsidRPr="00C82FB0">
              <w:rPr>
                <w:rFonts w:ascii="Times New Roman" w:hAnsi="Times New Roman"/>
                <w:sz w:val="20"/>
                <w:szCs w:val="20"/>
              </w:rPr>
              <w:t>Difference between the serving cell SS-RSRP and neighbor cell/TRP PRS-RSRP is within [6] dB</w:t>
            </w:r>
          </w:p>
          <w:p w:rsidR="004E46C1" w:rsidRPr="00C82FB0" w:rsidRDefault="004E46C1" w:rsidP="00F0632F">
            <w:pPr>
              <w:pStyle w:val="3GPPAgreements"/>
              <w:numPr>
                <w:ilvl w:val="0"/>
                <w:numId w:val="0"/>
              </w:numPr>
              <w:snapToGrid w:val="0"/>
              <w:spacing w:before="0" w:after="0"/>
              <w:ind w:left="360" w:hanging="360"/>
              <w:rPr>
                <w:rFonts w:ascii="Times New Roman" w:eastAsia="宋体" w:hAnsi="Times New Roman"/>
                <w:sz w:val="20"/>
                <w:szCs w:val="20"/>
              </w:rPr>
            </w:pPr>
            <w:r w:rsidRPr="00C82FB0">
              <w:rPr>
                <w:rFonts w:ascii="Times New Roman" w:hAnsi="Times New Roman"/>
                <w:sz w:val="20"/>
                <w:szCs w:val="20"/>
              </w:rPr>
              <w:t>Agreements</w:t>
            </w:r>
            <w:r>
              <w:rPr>
                <w:rFonts w:ascii="Times New Roman" w:hAnsi="Times New Roman"/>
                <w:sz w:val="20"/>
                <w:szCs w:val="20"/>
              </w:rPr>
              <w:t xml:space="preserve"> in RAN4#102-e</w:t>
            </w:r>
            <w:r w:rsidRPr="00C82FB0">
              <w:rPr>
                <w:rFonts w:ascii="Times New Roman" w:hAnsi="Times New Roman"/>
                <w:i/>
                <w:iCs/>
                <w:sz w:val="20"/>
                <w:szCs w:val="20"/>
              </w:rPr>
              <w:t>:</w:t>
            </w:r>
          </w:p>
          <w:p w:rsidR="004E46C1" w:rsidRPr="00C82FB0" w:rsidRDefault="004E46C1" w:rsidP="004E46C1">
            <w:pPr>
              <w:pStyle w:val="3GPPAgreements"/>
              <w:numPr>
                <w:ilvl w:val="0"/>
                <w:numId w:val="9"/>
              </w:numPr>
              <w:autoSpaceDE w:val="0"/>
              <w:autoSpaceDN w:val="0"/>
              <w:adjustRightInd w:val="0"/>
              <w:snapToGrid w:val="0"/>
              <w:spacing w:before="0" w:beforeAutospacing="0" w:after="0" w:afterAutospacing="0"/>
              <w:ind w:left="1320" w:hanging="440"/>
              <w:rPr>
                <w:rFonts w:ascii="Times New Roman" w:hAnsi="Times New Roman"/>
                <w:i/>
                <w:iCs/>
                <w:sz w:val="20"/>
                <w:szCs w:val="20"/>
              </w:rPr>
            </w:pPr>
            <w:r w:rsidRPr="00C82FB0">
              <w:rPr>
                <w:rFonts w:ascii="Times New Roman" w:hAnsi="Times New Roman"/>
                <w:sz w:val="20"/>
                <w:szCs w:val="20"/>
              </w:rPr>
              <w:t>Define low latency requirements the reduced number of samples:</w:t>
            </w:r>
          </w:p>
          <w:p w:rsidR="004E46C1" w:rsidRPr="00C82FB0" w:rsidRDefault="004E46C1" w:rsidP="004E46C1">
            <w:pPr>
              <w:pStyle w:val="3GPPAgreements"/>
              <w:numPr>
                <w:ilvl w:val="0"/>
                <w:numId w:val="9"/>
              </w:numPr>
              <w:autoSpaceDE w:val="0"/>
              <w:autoSpaceDN w:val="0"/>
              <w:adjustRightInd w:val="0"/>
              <w:snapToGrid w:val="0"/>
              <w:spacing w:before="0" w:beforeAutospacing="0" w:after="0" w:afterAutospacing="0"/>
              <w:ind w:left="1320" w:hanging="440"/>
              <w:rPr>
                <w:rFonts w:ascii="Times New Roman" w:hAnsi="Times New Roman"/>
                <w:i/>
                <w:iCs/>
                <w:sz w:val="20"/>
                <w:szCs w:val="20"/>
              </w:rPr>
            </w:pPr>
            <w:r w:rsidRPr="002F5497">
              <w:rPr>
                <w:rFonts w:ascii="Times New Roman" w:hAnsi="Times New Roman"/>
                <w:i/>
                <w:noProof/>
                <w:sz w:val="20"/>
                <w:szCs w:val="20"/>
              </w:rPr>
              <w:t>N</w:t>
            </w:r>
            <w:r w:rsidRPr="002F5497">
              <w:rPr>
                <w:rFonts w:ascii="Times New Roman" w:hAnsi="Times New Roman"/>
                <w:i/>
                <w:noProof/>
                <w:sz w:val="20"/>
                <w:szCs w:val="20"/>
                <w:vertAlign w:val="subscript"/>
              </w:rPr>
              <w:t>sample</w:t>
            </w:r>
            <w:r w:rsidRPr="002F5497">
              <w:rPr>
                <w:rFonts w:ascii="Times New Roman" w:hAnsi="Times New Roman"/>
                <w:i/>
                <w:noProof/>
                <w:sz w:val="20"/>
                <w:szCs w:val="20"/>
              </w:rPr>
              <w:t xml:space="preserve"> </w:t>
            </w:r>
            <w:r w:rsidRPr="00C82FB0">
              <w:rPr>
                <w:rFonts w:ascii="Times New Roman" w:hAnsi="Times New Roman"/>
                <w:sz w:val="20"/>
                <w:szCs w:val="20"/>
              </w:rPr>
              <w:t>= 1 if the condition under which AGC is not required is met</w:t>
            </w:r>
          </w:p>
          <w:p w:rsidR="004E46C1" w:rsidRPr="00A531A7" w:rsidRDefault="004E46C1" w:rsidP="004E46C1">
            <w:pPr>
              <w:pStyle w:val="3GPPAgreements"/>
              <w:numPr>
                <w:ilvl w:val="0"/>
                <w:numId w:val="9"/>
              </w:numPr>
              <w:autoSpaceDE w:val="0"/>
              <w:autoSpaceDN w:val="0"/>
              <w:adjustRightInd w:val="0"/>
              <w:snapToGrid w:val="0"/>
              <w:spacing w:before="0" w:beforeAutospacing="0" w:after="0" w:afterAutospacing="0"/>
              <w:ind w:left="1320" w:hanging="440"/>
            </w:pPr>
            <w:r w:rsidRPr="002F5497">
              <w:rPr>
                <w:rFonts w:ascii="Times New Roman" w:hAnsi="Times New Roman"/>
                <w:i/>
                <w:noProof/>
                <w:sz w:val="20"/>
                <w:szCs w:val="20"/>
              </w:rPr>
              <w:t>N</w:t>
            </w:r>
            <w:r w:rsidRPr="002F5497">
              <w:rPr>
                <w:rFonts w:ascii="Times New Roman" w:hAnsi="Times New Roman"/>
                <w:i/>
                <w:noProof/>
                <w:sz w:val="20"/>
                <w:szCs w:val="20"/>
                <w:vertAlign w:val="subscript"/>
              </w:rPr>
              <w:t>sample</w:t>
            </w:r>
            <w:r w:rsidRPr="002F5497">
              <w:rPr>
                <w:rFonts w:ascii="Times New Roman" w:hAnsi="Times New Roman"/>
                <w:i/>
                <w:noProof/>
                <w:sz w:val="20"/>
                <w:szCs w:val="20"/>
              </w:rPr>
              <w:t xml:space="preserve"> </w:t>
            </w:r>
            <w:r w:rsidRPr="00C82FB0">
              <w:rPr>
                <w:rFonts w:ascii="Times New Roman" w:hAnsi="Times New Roman"/>
                <w:sz w:val="20"/>
                <w:szCs w:val="20"/>
              </w:rPr>
              <w:t>= 2 if the condition under which AGC is not required is NOT me</w:t>
            </w:r>
            <w:r w:rsidRPr="00C82FB0">
              <w:rPr>
                <w:rFonts w:ascii="Times New Roman" w:hAnsi="Times New Roman"/>
                <w:color w:val="000000"/>
                <w:sz w:val="20"/>
                <w:szCs w:val="20"/>
              </w:rPr>
              <w:t>t</w:t>
            </w:r>
          </w:p>
        </w:tc>
      </w:tr>
    </w:tbl>
    <w:p w:rsidR="004E46C1" w:rsidRDefault="004E46C1" w:rsidP="004E46C1">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ence, </w:t>
      </w:r>
      <w:r>
        <w:rPr>
          <w:rFonts w:ascii="Times New Roman" w:hAnsi="Times New Roman" w:hint="eastAsia"/>
          <w:sz w:val="20"/>
          <w:szCs w:val="20"/>
        </w:rPr>
        <w:t>RAN</w:t>
      </w:r>
      <w:r>
        <w:rPr>
          <w:rFonts w:ascii="Times New Roman" w:hAnsi="Times New Roman"/>
          <w:sz w:val="20"/>
          <w:szCs w:val="20"/>
        </w:rPr>
        <w:t xml:space="preserve">1 defined FG 27-3-1 should be updated accordingly. </w:t>
      </w:r>
    </w:p>
    <w:p w:rsidR="004E46C1" w:rsidRDefault="004E46C1" w:rsidP="004E46C1">
      <w:pPr>
        <w:tabs>
          <w:tab w:val="left" w:pos="420"/>
        </w:tabs>
        <w:adjustRightInd w:val="0"/>
        <w:snapToGrid w:val="0"/>
        <w:spacing w:before="50" w:after="50" w:line="240" w:lineRule="auto"/>
        <w:jc w:val="both"/>
        <w:rPr>
          <w:rFonts w:ascii="Times New Roman" w:hAnsi="Times New Roman"/>
          <w:b/>
          <w:bCs/>
          <w:i/>
          <w:iCs/>
          <w:sz w:val="20"/>
          <w:szCs w:val="20"/>
        </w:rPr>
      </w:pPr>
      <w:r w:rsidRPr="008371FC">
        <w:rPr>
          <w:rFonts w:ascii="Times New Roman" w:hAnsi="Times New Roman" w:hint="eastAsia"/>
          <w:b/>
          <w:bCs/>
          <w:i/>
          <w:iCs/>
          <w:sz w:val="20"/>
          <w:szCs w:val="20"/>
        </w:rPr>
        <w:t>P</w:t>
      </w:r>
      <w:r w:rsidRPr="008371FC">
        <w:rPr>
          <w:rFonts w:ascii="Times New Roman" w:hAnsi="Times New Roman"/>
          <w:b/>
          <w:bCs/>
          <w:i/>
          <w:iCs/>
          <w:sz w:val="20"/>
          <w:szCs w:val="20"/>
        </w:rPr>
        <w:t xml:space="preserve">roposal 1: </w:t>
      </w:r>
      <w:r w:rsidRPr="008371FC">
        <w:rPr>
          <w:rFonts w:ascii="Times New Roman" w:hAnsi="Times New Roman"/>
          <w:bCs/>
          <w:i/>
          <w:iCs/>
          <w:sz w:val="20"/>
          <w:szCs w:val="20"/>
        </w:rPr>
        <w:t xml:space="preserve">For FG 27-3-1, </w:t>
      </w:r>
      <w:r>
        <w:rPr>
          <w:rFonts w:ascii="Times New Roman" w:hAnsi="Times New Roman"/>
          <w:bCs/>
          <w:i/>
          <w:iCs/>
          <w:sz w:val="20"/>
          <w:szCs w:val="20"/>
        </w:rPr>
        <w:t>M=</w:t>
      </w:r>
      <w:r w:rsidRPr="008371FC">
        <w:rPr>
          <w:rFonts w:ascii="Times New Roman" w:hAnsi="Times New Roman"/>
          <w:bCs/>
          <w:i/>
          <w:iCs/>
          <w:sz w:val="20"/>
          <w:szCs w:val="20"/>
        </w:rPr>
        <w:t xml:space="preserve">2 should be </w:t>
      </w:r>
      <w:r>
        <w:rPr>
          <w:rFonts w:ascii="Times New Roman" w:hAnsi="Times New Roman"/>
          <w:bCs/>
          <w:i/>
          <w:iCs/>
          <w:sz w:val="20"/>
          <w:szCs w:val="20"/>
        </w:rPr>
        <w:t>added</w:t>
      </w:r>
      <w:r w:rsidRPr="008371FC">
        <w:rPr>
          <w:rFonts w:ascii="Times New Roman" w:hAnsi="Times New Roman"/>
          <w:bCs/>
          <w:i/>
          <w:iCs/>
          <w:sz w:val="20"/>
          <w:szCs w:val="20"/>
        </w:rPr>
        <w:t>.</w:t>
      </w:r>
      <w:r>
        <w:rPr>
          <w:rFonts w:ascii="Times New Roman" w:hAnsi="Times New Roman"/>
          <w:b/>
          <w:bCs/>
          <w:i/>
          <w:iCs/>
          <w:sz w:val="20"/>
          <w:szCs w:val="20"/>
        </w:rPr>
        <w:t xml:space="preserve"> </w:t>
      </w:r>
    </w:p>
    <w:p w:rsidR="00643F8B" w:rsidRDefault="00643F8B" w:rsidP="004E46C1">
      <w:pPr>
        <w:tabs>
          <w:tab w:val="left" w:pos="420"/>
        </w:tabs>
        <w:adjustRightInd w:val="0"/>
        <w:snapToGrid w:val="0"/>
        <w:spacing w:before="50" w:after="50" w:line="240" w:lineRule="auto"/>
        <w:jc w:val="both"/>
        <w:rPr>
          <w:rFonts w:ascii="Times New Roman" w:hAnsi="Times New Roman"/>
          <w:b/>
          <w:bCs/>
          <w:i/>
          <w:iCs/>
          <w:sz w:val="20"/>
          <w:szCs w:val="20"/>
        </w:rPr>
      </w:pPr>
    </w:p>
    <w:p w:rsidR="004E46C1" w:rsidRPr="004464B0" w:rsidRDefault="004E46C1" w:rsidP="00276F3F">
      <w:pPr>
        <w:pStyle w:val="2"/>
        <w:numPr>
          <w:ilvl w:val="0"/>
          <w:numId w:val="0"/>
        </w:numPr>
        <w:snapToGrid w:val="0"/>
        <w:spacing w:beforeLines="50" w:before="180" w:afterLines="50" w:after="180" w:line="240" w:lineRule="auto"/>
        <w:ind w:left="718" w:hanging="576"/>
        <w:rPr>
          <w:rFonts w:ascii="Times New Roman" w:hAnsi="Times New Roman"/>
          <w:b w:val="0"/>
          <w:bCs w:val="0"/>
          <w:sz w:val="20"/>
          <w:szCs w:val="20"/>
        </w:rPr>
      </w:pPr>
      <w:r w:rsidRPr="004464B0">
        <w:rPr>
          <w:rFonts w:ascii="Times New Roman" w:hAnsi="Times New Roman"/>
          <w:sz w:val="20"/>
          <w:szCs w:val="20"/>
        </w:rPr>
        <w:t>FG 27-3-3 Measurement outside MG</w:t>
      </w:r>
    </w:p>
    <w:p w:rsidR="004E46C1" w:rsidRDefault="004E46C1" w:rsidP="004E46C1">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Rel-16, d</w:t>
      </w:r>
      <w:r>
        <w:rPr>
          <w:rFonts w:ascii="Times New Roman" w:hAnsi="Times New Roman"/>
          <w:sz w:val="20"/>
          <w:szCs w:val="20"/>
        </w:rPr>
        <w:t>uring the measurement window, t</w:t>
      </w:r>
      <w:r>
        <w:rPr>
          <w:rFonts w:ascii="Times New Roman" w:hAnsi="Times New Roman" w:hint="eastAsia"/>
          <w:sz w:val="20"/>
          <w:szCs w:val="20"/>
        </w:rPr>
        <w:t xml:space="preserve">he N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of </w:t>
      </w:r>
      <w:r>
        <w:rPr>
          <w:rFonts w:ascii="Times New Roman" w:hAnsi="Times New Roman"/>
          <w:sz w:val="20"/>
          <w:szCs w:val="20"/>
        </w:rPr>
        <w:t xml:space="preserve">PRS </w:t>
      </w:r>
      <w:r>
        <w:rPr>
          <w:rFonts w:ascii="Times New Roman" w:hAnsi="Times New Roman" w:hint="eastAsia"/>
          <w:sz w:val="20"/>
          <w:szCs w:val="20"/>
        </w:rPr>
        <w:t xml:space="preserve">symbols may be located in anywhere within the duration of T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as shown in following figures</w:t>
      </w:r>
      <w:r>
        <w:rPr>
          <w:rFonts w:ascii="Times New Roman" w:hAnsi="Times New Roman"/>
          <w:sz w:val="20"/>
          <w:szCs w:val="20"/>
        </w:rPr>
        <w:t>.</w:t>
      </w:r>
    </w:p>
    <w:p w:rsidR="004E46C1" w:rsidRDefault="004E46C1" w:rsidP="004E46C1">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14:anchorId="33523450" wp14:editId="73ADA4A5">
            <wp:extent cx="4957445" cy="1153160"/>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9"/>
                    <a:srcRect b="19498"/>
                    <a:stretch>
                      <a:fillRect/>
                    </a:stretch>
                  </pic:blipFill>
                  <pic:spPr>
                    <a:xfrm>
                      <a:off x="0" y="0"/>
                      <a:ext cx="4957445" cy="1153236"/>
                    </a:xfrm>
                    <a:prstGeom prst="rect">
                      <a:avLst/>
                    </a:prstGeom>
                    <a:ln>
                      <a:noFill/>
                    </a:ln>
                  </pic:spPr>
                </pic:pic>
              </a:graphicData>
            </a:graphic>
          </wp:inline>
        </w:drawing>
      </w:r>
    </w:p>
    <w:p w:rsidR="004E46C1" w:rsidRDefault="004E46C1" w:rsidP="004E46C1">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1a                     Figure 1b                        Figure 1c</w:t>
      </w:r>
    </w:p>
    <w:p w:rsidR="004E46C1" w:rsidRDefault="004E46C1" w:rsidP="004E46C1">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As defined in the formula of TS 38.133 for the measurement period, the component </w:t>
      </w:r>
      <w:proofErr w:type="spellStart"/>
      <w:r>
        <w:rPr>
          <w:rFonts w:ascii="Times New Roman" w:hAnsi="Times New Roman" w:hint="eastAsia"/>
          <w:sz w:val="20"/>
          <w:szCs w:val="20"/>
        </w:rPr>
        <w:t>T</w:t>
      </w:r>
      <w:r>
        <w:rPr>
          <w:rFonts w:ascii="Times New Roman" w:hAnsi="Times New Roman" w:hint="eastAsia"/>
          <w:sz w:val="20"/>
          <w:szCs w:val="20"/>
          <w:vertAlign w:val="subscript"/>
        </w:rPr>
        <w:t>last</w:t>
      </w:r>
      <w:proofErr w:type="spellEnd"/>
      <w:r>
        <w:rPr>
          <w:rFonts w:ascii="Times New Roman" w:hAnsi="Times New Roman" w:hint="eastAsia"/>
          <w:sz w:val="20"/>
          <w:szCs w:val="20"/>
          <w:vertAlign w:val="subscript"/>
        </w:rPr>
        <w:t xml:space="preserve"> </w:t>
      </w:r>
      <w:r>
        <w:rPr>
          <w:rFonts w:ascii="Times New Roman" w:hAnsi="Times New Roman" w:hint="eastAsia"/>
          <w:sz w:val="20"/>
          <w:szCs w:val="20"/>
        </w:rPr>
        <w:t xml:space="preserve">is the measurement duration for the last PRS sample, including the sampling time and processing time. The </w:t>
      </w:r>
      <w:proofErr w:type="spellStart"/>
      <w:r>
        <w:rPr>
          <w:rFonts w:ascii="Times New Roman" w:hAnsi="Times New Roman" w:hint="eastAsia"/>
          <w:sz w:val="20"/>
          <w:szCs w:val="20"/>
        </w:rPr>
        <w:t>T</w:t>
      </w:r>
      <w:r>
        <w:rPr>
          <w:rFonts w:ascii="Times New Roman" w:hAnsi="Times New Roman" w:hint="eastAsia"/>
          <w:sz w:val="20"/>
          <w:szCs w:val="20"/>
          <w:vertAlign w:val="subscript"/>
        </w:rPr>
        <w:t>last</w:t>
      </w:r>
      <w:proofErr w:type="spellEnd"/>
      <w:r>
        <w:rPr>
          <w:rFonts w:ascii="Times New Roman" w:hAnsi="Times New Roman" w:hint="eastAsia"/>
          <w:sz w:val="20"/>
          <w:szCs w:val="20"/>
        </w:rPr>
        <w:t xml:space="preserve"> is to consider the cases that PRS resources from different sets are not concentrated on the same MG instance or PRS resources appear in the end of the processing window (e.g. Figure </w:t>
      </w:r>
      <w:r>
        <w:rPr>
          <w:rFonts w:ascii="Times New Roman" w:hAnsi="Times New Roman"/>
          <w:sz w:val="20"/>
          <w:szCs w:val="20"/>
        </w:rPr>
        <w:t>1</w:t>
      </w:r>
      <w:r>
        <w:rPr>
          <w:rFonts w:ascii="Times New Roman" w:hAnsi="Times New Roman" w:hint="eastAsia"/>
          <w:sz w:val="20"/>
          <w:szCs w:val="20"/>
        </w:rPr>
        <w:t>c shown above).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ascii="Times New Roman" w:hAnsi="Times New Roman" w:hint="eastAsia"/>
          <w:sz w:val="20"/>
          <w:szCs w:val="20"/>
        </w:rPr>
        <w:t xml:space="preserve">s not acceptable to take additional time after the end of the PRS processing window. </w:t>
      </w:r>
    </w:p>
    <w:p w:rsidR="004E46C1" w:rsidRDefault="004E46C1" w:rsidP="004E46C1">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reduce the latency for DL PRS measurement in the PRS processing window</w:t>
      </w:r>
      <w:r>
        <w:rPr>
          <w:rFonts w:ascii="Times New Roman" w:hAnsi="Times New Roman"/>
          <w:sz w:val="20"/>
          <w:szCs w:val="20"/>
        </w:rPr>
        <w:t xml:space="preserve"> outside MG</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the location information report should be ready right after the end of the PRS processing window. That is, UE has to finish all the DL PRS receiving and computation in the PRS processing window to make full use of its hardware resources. </w:t>
      </w:r>
      <w:r>
        <w:rPr>
          <w:rFonts w:ascii="Times New Roman" w:hAnsi="Times New Roman"/>
          <w:sz w:val="20"/>
          <w:szCs w:val="20"/>
        </w:rPr>
        <w:t xml:space="preserve">Otherwise, there is no reason to drop other signals including PDSCH, PDCCH, </w:t>
      </w:r>
      <w:proofErr w:type="gramStart"/>
      <w:r>
        <w:rPr>
          <w:rFonts w:ascii="Times New Roman" w:hAnsi="Times New Roman"/>
          <w:sz w:val="20"/>
          <w:szCs w:val="20"/>
        </w:rPr>
        <w:t>CSI</w:t>
      </w:r>
      <w:proofErr w:type="gramEnd"/>
      <w:r>
        <w:rPr>
          <w:rFonts w:ascii="Times New Roman" w:hAnsi="Times New Roman"/>
          <w:sz w:val="20"/>
          <w:szCs w:val="20"/>
        </w:rPr>
        <w:t>-RS etc. during the window in the case of PRS with higher priority for processing Type 1A and 1B. As discussed in RAN1#107e meeting, we propose the following UE PRS processing capability in PRS processing window outside MG.</w:t>
      </w:r>
    </w:p>
    <w:p w:rsidR="004E46C1" w:rsidRDefault="004E46C1" w:rsidP="004E46C1">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sz w:val="20"/>
          <w:szCs w:val="20"/>
          <w:u w:val="single"/>
        </w:rPr>
        <w:t>PRS processing capability</w:t>
      </w:r>
      <w:r>
        <w:rPr>
          <w:rFonts w:ascii="Times New Roman" w:hAnsi="Times New Roman" w:hint="eastAsia"/>
          <w:sz w:val="20"/>
          <w:szCs w:val="20"/>
        </w:rPr>
        <w:t xml:space="preserve"> </w:t>
      </w:r>
      <w:r>
        <w:rPr>
          <w:rFonts w:ascii="Times New Roman" w:hAnsi="Times New Roman"/>
          <w:sz w:val="20"/>
          <w:szCs w:val="20"/>
        </w:rPr>
        <w:t xml:space="preserve">is </w:t>
      </w:r>
      <w:r>
        <w:rPr>
          <w:rFonts w:ascii="Times New Roman" w:hAnsi="Times New Roman" w:hint="eastAsia"/>
          <w:sz w:val="20"/>
          <w:szCs w:val="20"/>
        </w:rPr>
        <w:t xml:space="preserve">shown in the Figure </w:t>
      </w:r>
      <w:r>
        <w:rPr>
          <w:rFonts w:ascii="Times New Roman" w:hAnsi="Times New Roman"/>
          <w:sz w:val="20"/>
          <w:szCs w:val="20"/>
        </w:rPr>
        <w:t>2</w:t>
      </w:r>
      <w:r>
        <w:rPr>
          <w:rFonts w:ascii="Times New Roman" w:hAnsi="Times New Roman" w:hint="eastAsia"/>
          <w:sz w:val="20"/>
          <w:szCs w:val="20"/>
        </w:rPr>
        <w:t xml:space="preserve">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combination</w:t>
      </w:r>
      <w:r>
        <w:rPr>
          <w:rFonts w:ascii="Times New Roman" w:hAnsi="Times New Roman"/>
          <w:sz w:val="20"/>
          <w:szCs w:val="20"/>
        </w:rPr>
        <w:t>s</w:t>
      </w:r>
      <w:r>
        <w:rPr>
          <w:rFonts w:ascii="Times New Roman" w:hAnsi="Times New Roman" w:hint="eastAsia"/>
          <w:sz w:val="20"/>
          <w:szCs w:val="20"/>
        </w:rPr>
        <w:t xml:space="preserve"> of {N, T} under the following interpretations,</w:t>
      </w:r>
      <w:r>
        <w:rPr>
          <w:rFonts w:ascii="Times New Roman" w:hAnsi="Times New Roman"/>
          <w:sz w:val="20"/>
          <w:szCs w:val="20"/>
        </w:rPr>
        <w:t xml:space="preserve"> where T is equal to N+X, </w:t>
      </w:r>
    </w:p>
    <w:p w:rsidR="004E46C1" w:rsidRDefault="004E46C1" w:rsidP="004E46C1">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 PRS processing window </w:t>
      </w:r>
      <w:r>
        <w:rPr>
          <w:rFonts w:ascii="Times New Roman" w:hAnsi="Times New Roman" w:hint="eastAsia"/>
          <w:sz w:val="20"/>
          <w:szCs w:val="20"/>
        </w:rPr>
        <w:t xml:space="preserve">(with duration L) </w:t>
      </w:r>
      <w:r>
        <w:rPr>
          <w:rFonts w:ascii="Times New Roman" w:hAnsi="Times New Roman"/>
          <w:sz w:val="20"/>
          <w:szCs w:val="20"/>
        </w:rPr>
        <w:t xml:space="preserve">is divided into </w:t>
      </w:r>
      <w:r>
        <w:rPr>
          <w:rFonts w:ascii="Times New Roman" w:hAnsi="Times New Roman" w:hint="eastAsia"/>
          <w:sz w:val="20"/>
          <w:szCs w:val="20"/>
        </w:rPr>
        <w:t xml:space="preserve">a </w:t>
      </w:r>
      <w:r>
        <w:rPr>
          <w:rFonts w:ascii="Times New Roman" w:hAnsi="Times New Roman"/>
          <w:sz w:val="20"/>
          <w:szCs w:val="20"/>
        </w:rPr>
        <w:t xml:space="preserve">PRS </w:t>
      </w:r>
      <w:r w:rsidRPr="00120FB5">
        <w:rPr>
          <w:rFonts w:ascii="Times New Roman" w:hAnsi="Times New Roman"/>
          <w:sz w:val="20"/>
          <w:szCs w:val="20"/>
        </w:rPr>
        <w:t>buffering window</w:t>
      </w:r>
      <w:r w:rsidRPr="00120FB5">
        <w:rPr>
          <w:rFonts w:ascii="Times New Roman" w:hAnsi="Times New Roman" w:hint="eastAsia"/>
          <w:sz w:val="20"/>
          <w:szCs w:val="20"/>
        </w:rPr>
        <w:t xml:space="preserve"> with duration </w:t>
      </w:r>
      <w:r w:rsidRPr="00120FB5">
        <w:rPr>
          <w:rFonts w:ascii="Times New Roman" w:hAnsi="Times New Roman"/>
          <w:sz w:val="20"/>
          <w:szCs w:val="20"/>
        </w:rPr>
        <w:t>L-(T-N</w:t>
      </w:r>
      <w:r w:rsidRPr="00120FB5">
        <w:rPr>
          <w:rFonts w:ascii="Times New Roman" w:hAnsi="Times New Roman" w:hint="eastAsia"/>
          <w:sz w:val="20"/>
          <w:szCs w:val="20"/>
        </w:rPr>
        <w:t>)</w:t>
      </w:r>
      <w:r w:rsidRPr="00120FB5">
        <w:rPr>
          <w:rFonts w:ascii="Times New Roman" w:hAnsi="Times New Roman"/>
          <w:sz w:val="20"/>
          <w:szCs w:val="20"/>
        </w:rPr>
        <w:t xml:space="preserve"> and </w:t>
      </w:r>
      <w:r w:rsidRPr="00120FB5">
        <w:rPr>
          <w:rFonts w:ascii="Times New Roman" w:hAnsi="Times New Roman" w:hint="eastAsia"/>
          <w:sz w:val="20"/>
          <w:szCs w:val="20"/>
        </w:rPr>
        <w:t xml:space="preserve">a </w:t>
      </w:r>
      <w:r w:rsidRPr="00120FB5">
        <w:rPr>
          <w:rFonts w:ascii="Times New Roman" w:hAnsi="Times New Roman"/>
          <w:sz w:val="20"/>
          <w:szCs w:val="20"/>
        </w:rPr>
        <w:t>PRS computation window</w:t>
      </w:r>
      <w:r w:rsidRPr="00120FB5">
        <w:rPr>
          <w:rFonts w:ascii="Times New Roman" w:hAnsi="Times New Roman" w:hint="eastAsia"/>
          <w:sz w:val="20"/>
          <w:szCs w:val="20"/>
        </w:rPr>
        <w:t xml:space="preserve"> with duration T</w:t>
      </w:r>
      <w:r w:rsidRPr="00120FB5">
        <w:rPr>
          <w:rFonts w:ascii="Times New Roman" w:hAnsi="Times New Roman"/>
          <w:sz w:val="20"/>
          <w:szCs w:val="20"/>
        </w:rPr>
        <w:t>-N</w:t>
      </w:r>
      <w:r w:rsidRPr="00120FB5">
        <w:rPr>
          <w:rFonts w:ascii="Times New Roman" w:hAnsi="Times New Roman" w:hint="eastAsia"/>
          <w:sz w:val="20"/>
          <w:szCs w:val="20"/>
        </w:rPr>
        <w:t>.</w:t>
      </w:r>
      <w:r>
        <w:rPr>
          <w:rFonts w:ascii="Times New Roman" w:hAnsi="Times New Roman" w:hint="eastAsia"/>
          <w:sz w:val="20"/>
          <w:szCs w:val="20"/>
        </w:rPr>
        <w:t xml:space="preserve"> The </w:t>
      </w:r>
      <w:r>
        <w:rPr>
          <w:rFonts w:ascii="Times New Roman" w:hAnsi="Times New Roman"/>
          <w:sz w:val="20"/>
          <w:szCs w:val="20"/>
        </w:rPr>
        <w:t>PRS computation window</w:t>
      </w:r>
      <w:r>
        <w:rPr>
          <w:rFonts w:ascii="Times New Roman" w:hAnsi="Times New Roman" w:hint="eastAsia"/>
          <w:sz w:val="20"/>
          <w:szCs w:val="20"/>
        </w:rPr>
        <w:t xml:space="preserve"> starts right after the end of the </w:t>
      </w:r>
      <w:r>
        <w:rPr>
          <w:rFonts w:ascii="Times New Roman" w:hAnsi="Times New Roman"/>
          <w:sz w:val="20"/>
          <w:szCs w:val="20"/>
        </w:rPr>
        <w:t>PRS buffering window</w:t>
      </w:r>
      <w:r>
        <w:rPr>
          <w:rFonts w:ascii="Times New Roman" w:hAnsi="Times New Roman" w:hint="eastAsia"/>
          <w:sz w:val="20"/>
          <w:szCs w:val="20"/>
        </w:rPr>
        <w:t>.</w:t>
      </w:r>
    </w:p>
    <w:p w:rsidR="004E46C1" w:rsidRDefault="004E46C1" w:rsidP="004E46C1">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UE shall take </w:t>
      </w:r>
      <w:r>
        <w:rPr>
          <w:rFonts w:ascii="Times New Roman" w:hAnsi="Times New Roman"/>
          <w:sz w:val="20"/>
          <w:szCs w:val="20"/>
        </w:rPr>
        <w:t>T-N</w:t>
      </w:r>
      <w:r>
        <w:rPr>
          <w:rFonts w:ascii="Times New Roman" w:hAnsi="Times New Roman" w:hint="eastAsia"/>
          <w:sz w:val="20"/>
          <w:szCs w:val="20"/>
        </w:rPr>
        <w:t xml:space="preserve">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of time to process up to N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of symbols containing PRS resources received by UE in the </w:t>
      </w:r>
      <w:r>
        <w:rPr>
          <w:rFonts w:ascii="Times New Roman" w:hAnsi="Times New Roman"/>
          <w:sz w:val="20"/>
          <w:szCs w:val="20"/>
        </w:rPr>
        <w:t>PRS buffering window</w:t>
      </w:r>
    </w:p>
    <w:p w:rsidR="004E46C1" w:rsidRDefault="004E46C1" w:rsidP="004E46C1">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UE is not expected to be configured a PRS processing window with dur</w:t>
      </w:r>
      <w:r w:rsidRPr="006F301F">
        <w:rPr>
          <w:rFonts w:ascii="Times New Roman" w:hAnsi="Times New Roman" w:hint="eastAsia"/>
          <w:sz w:val="20"/>
          <w:szCs w:val="20"/>
        </w:rPr>
        <w:t xml:space="preserve">ation </w:t>
      </w:r>
      <w:r w:rsidRPr="00AC310F">
        <w:rPr>
          <w:rFonts w:ascii="Times New Roman" w:hAnsi="Times New Roman"/>
          <w:sz w:val="20"/>
          <w:szCs w:val="20"/>
        </w:rPr>
        <w:t>smaller than T-N.</w:t>
      </w:r>
    </w:p>
    <w:p w:rsidR="004E46C1" w:rsidRDefault="004E46C1" w:rsidP="004E46C1">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14:anchorId="679247FF" wp14:editId="71E0FDCA">
            <wp:extent cx="3404870" cy="1166495"/>
            <wp:effectExtent l="0" t="0" r="1143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0"/>
                    <a:stretch>
                      <a:fillRect/>
                    </a:stretch>
                  </pic:blipFill>
                  <pic:spPr>
                    <a:xfrm>
                      <a:off x="0" y="0"/>
                      <a:ext cx="3404870" cy="1166495"/>
                    </a:xfrm>
                    <a:prstGeom prst="rect">
                      <a:avLst/>
                    </a:prstGeom>
                  </pic:spPr>
                </pic:pic>
              </a:graphicData>
            </a:graphic>
          </wp:inline>
        </w:drawing>
      </w:r>
    </w:p>
    <w:p w:rsidR="004E46C1" w:rsidRPr="00120FB5" w:rsidRDefault="004E46C1" w:rsidP="004E46C1">
      <w:pPr>
        <w:adjustRightInd w:val="0"/>
        <w:snapToGrid w:val="0"/>
        <w:spacing w:beforeLines="50" w:before="180" w:afterLines="50" w:after="180" w:line="240" w:lineRule="auto"/>
        <w:jc w:val="center"/>
        <w:rPr>
          <w:rFonts w:ascii="Times New Roman" w:hAnsi="Times New Roman"/>
          <w:sz w:val="20"/>
          <w:szCs w:val="20"/>
        </w:rPr>
      </w:pPr>
      <w:r w:rsidRPr="00120FB5">
        <w:rPr>
          <w:rFonts w:ascii="Times New Roman" w:hAnsi="Times New Roman" w:hint="eastAsia"/>
          <w:sz w:val="20"/>
          <w:szCs w:val="20"/>
        </w:rPr>
        <w:t xml:space="preserve">Figure </w:t>
      </w:r>
      <w:r w:rsidRPr="00120FB5">
        <w:rPr>
          <w:rFonts w:ascii="Times New Roman" w:hAnsi="Times New Roman"/>
          <w:sz w:val="20"/>
          <w:szCs w:val="20"/>
        </w:rPr>
        <w:t>2</w:t>
      </w:r>
      <w:r w:rsidRPr="00120FB5">
        <w:rPr>
          <w:rFonts w:ascii="Times New Roman" w:hAnsi="Times New Roman" w:hint="eastAsia"/>
          <w:sz w:val="20"/>
          <w:szCs w:val="20"/>
        </w:rPr>
        <w:t xml:space="preserve"> Type 1 PRS processing capability</w:t>
      </w:r>
    </w:p>
    <w:p w:rsidR="004E46C1" w:rsidRDefault="004E46C1" w:rsidP="004E46C1">
      <w:pPr>
        <w:snapToGrid w:val="0"/>
        <w:spacing w:beforeLines="50" w:before="180" w:afterLines="50" w:after="180" w:line="240" w:lineRule="auto"/>
        <w:jc w:val="both"/>
        <w:rPr>
          <w:rFonts w:ascii="Times New Roman" w:eastAsia="MS Gothic" w:hAnsi="Times New Roman"/>
          <w:sz w:val="24"/>
          <w:szCs w:val="24"/>
        </w:rPr>
      </w:pPr>
      <w:r>
        <w:rPr>
          <w:rFonts w:ascii="Times New Roman" w:hAnsi="Times New Roman"/>
          <w:sz w:val="20"/>
          <w:szCs w:val="20"/>
        </w:rPr>
        <w:t>In summary, we have the following proposal:</w:t>
      </w:r>
    </w:p>
    <w:p w:rsidR="004E46C1" w:rsidRPr="005A702D" w:rsidRDefault="004E46C1" w:rsidP="004E46C1">
      <w:pPr>
        <w:tabs>
          <w:tab w:val="left" w:pos="420"/>
        </w:tabs>
        <w:adjustRightInd w:val="0"/>
        <w:snapToGrid w:val="0"/>
        <w:spacing w:beforeLines="50" w:before="180" w:afterLines="50" w:after="18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2</w:t>
      </w:r>
      <w:r w:rsidRPr="00001E35">
        <w:rPr>
          <w:rFonts w:ascii="Times New Roman" w:hAnsi="Times New Roman" w:hint="eastAsia"/>
          <w:i/>
          <w:iCs/>
          <w:sz w:val="20"/>
          <w:szCs w:val="20"/>
        </w:rPr>
        <w:t xml:space="preserve">: </w:t>
      </w:r>
      <w:r>
        <w:rPr>
          <w:rFonts w:ascii="Times New Roman" w:hAnsi="Times New Roman"/>
          <w:i/>
          <w:iCs/>
          <w:sz w:val="20"/>
          <w:szCs w:val="20"/>
        </w:rPr>
        <w:t>Define the component 2 of FG 27-3-3 as:</w:t>
      </w:r>
      <w:r w:rsidRPr="002D5295">
        <w:rPr>
          <w:rFonts w:ascii="Times New Roman" w:hAnsi="Times New Roman"/>
          <w:i/>
          <w:iCs/>
          <w:sz w:val="20"/>
          <w:szCs w:val="20"/>
        </w:rPr>
        <w:t xml:space="preserve"> </w:t>
      </w:r>
      <w:r w:rsidRPr="002D5295">
        <w:rPr>
          <w:rFonts w:ascii="Times New Roman" w:hAnsi="Times New Roman"/>
          <w:i/>
          <w:sz w:val="20"/>
          <w:szCs w:val="20"/>
        </w:rPr>
        <w:t xml:space="preserve">Maximum duration of DL PRS symbols N in units of </w:t>
      </w:r>
      <w:proofErr w:type="spellStart"/>
      <w:r w:rsidRPr="002D5295">
        <w:rPr>
          <w:rFonts w:ascii="Times New Roman" w:hAnsi="Times New Roman"/>
          <w:i/>
          <w:sz w:val="20"/>
          <w:szCs w:val="20"/>
        </w:rPr>
        <w:t>ms</w:t>
      </w:r>
      <w:proofErr w:type="spellEnd"/>
      <w:r w:rsidRPr="002D5295">
        <w:rPr>
          <w:rFonts w:ascii="Times New Roman" w:hAnsi="Times New Roman"/>
          <w:i/>
          <w:sz w:val="20"/>
          <w:szCs w:val="20"/>
        </w:rPr>
        <w:t xml:space="preserve"> a UE can process in the first part of a PRS processing window assuming maximum DL PRS bandwidth in MHz, such that the UE is capable of reporting the measurements T-N </w:t>
      </w:r>
      <w:proofErr w:type="spellStart"/>
      <w:r w:rsidRPr="002D5295">
        <w:rPr>
          <w:rFonts w:ascii="Times New Roman" w:hAnsi="Times New Roman"/>
          <w:i/>
          <w:sz w:val="20"/>
          <w:szCs w:val="20"/>
        </w:rPr>
        <w:t>ms</w:t>
      </w:r>
      <w:proofErr w:type="spellEnd"/>
      <w:r w:rsidRPr="002D5295">
        <w:rPr>
          <w:rFonts w:ascii="Times New Roman" w:hAnsi="Times New Roman"/>
          <w:i/>
          <w:sz w:val="20"/>
          <w:szCs w:val="20"/>
        </w:rPr>
        <w:t xml:space="preserve"> after the last PRS symbol</w:t>
      </w:r>
      <w:r>
        <w:rPr>
          <w:rFonts w:ascii="Times New Roman" w:hAnsi="Times New Roman"/>
          <w:i/>
          <w:iCs/>
          <w:sz w:val="20"/>
          <w:szCs w:val="20"/>
        </w:rPr>
        <w:t xml:space="preserve">. </w:t>
      </w:r>
    </w:p>
    <w:p w:rsidR="004E46C1" w:rsidRDefault="004E46C1" w:rsidP="004E46C1">
      <w:pPr>
        <w:adjustRightInd w:val="0"/>
        <w:snapToGrid w:val="0"/>
        <w:spacing w:beforeLines="50" w:before="180" w:afterLines="50" w:after="180" w:line="240" w:lineRule="auto"/>
        <w:jc w:val="both"/>
        <w:rPr>
          <w:rFonts w:ascii="Times New Roman" w:hAnsi="Times New Roman"/>
          <w:i/>
          <w:iCs/>
          <w:sz w:val="20"/>
          <w:szCs w:val="20"/>
        </w:rPr>
      </w:pPr>
      <w:bookmarkStart w:id="7" w:name="OLE_LINK4"/>
    </w:p>
    <w:p w:rsidR="004E46C1" w:rsidRDefault="004E46C1" w:rsidP="004E46C1">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F</w:t>
      </w:r>
      <w:r>
        <w:rPr>
          <w:rFonts w:ascii="Times New Roman" w:hAnsi="Times New Roman"/>
          <w:iCs/>
          <w:sz w:val="20"/>
          <w:szCs w:val="20"/>
        </w:rPr>
        <w:t xml:space="preserve">urthermore, for gapless PRS measurement, both FG 27-3-2 and 27-3-3 should be reported. Otherwise, the feature is not complete. </w:t>
      </w:r>
    </w:p>
    <w:p w:rsidR="004E46C1" w:rsidRDefault="004E46C1" w:rsidP="004E46C1">
      <w:pPr>
        <w:adjustRightInd w:val="0"/>
        <w:snapToGrid w:val="0"/>
        <w:spacing w:beforeLines="50" w:before="180" w:afterLines="50" w:after="180" w:line="240" w:lineRule="auto"/>
        <w:jc w:val="both"/>
        <w:rPr>
          <w:rFonts w:ascii="Times New Roman" w:hAnsi="Times New Roman"/>
          <w:i/>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3</w:t>
      </w:r>
      <w:r w:rsidRPr="00001E35">
        <w:rPr>
          <w:rFonts w:ascii="Times New Roman" w:hAnsi="Times New Roman" w:hint="eastAsia"/>
          <w:i/>
          <w:iCs/>
          <w:sz w:val="20"/>
          <w:szCs w:val="20"/>
        </w:rPr>
        <w:t xml:space="preserve">: </w:t>
      </w:r>
      <w:r>
        <w:rPr>
          <w:rFonts w:ascii="Times New Roman" w:hAnsi="Times New Roman"/>
          <w:i/>
          <w:iCs/>
          <w:sz w:val="20"/>
          <w:szCs w:val="20"/>
        </w:rPr>
        <w:t xml:space="preserve">FG 27-3-2 and 27-3-3 should be reported together. </w:t>
      </w:r>
    </w:p>
    <w:p w:rsidR="004E46C1" w:rsidRDefault="004E46C1" w:rsidP="004E46C1">
      <w:pPr>
        <w:adjustRightInd w:val="0"/>
        <w:snapToGrid w:val="0"/>
        <w:spacing w:after="0" w:line="240" w:lineRule="auto"/>
        <w:jc w:val="both"/>
        <w:rPr>
          <w:rFonts w:ascii="Times New Roman" w:hAnsi="Times New Roman"/>
          <w:i/>
          <w:sz w:val="20"/>
          <w:szCs w:val="20"/>
        </w:rPr>
      </w:pPr>
    </w:p>
    <w:p w:rsidR="004E46C1" w:rsidRPr="004E46C1" w:rsidRDefault="004E46C1" w:rsidP="00276F3F">
      <w:pPr>
        <w:pStyle w:val="2"/>
        <w:numPr>
          <w:ilvl w:val="0"/>
          <w:numId w:val="0"/>
        </w:numPr>
        <w:snapToGrid w:val="0"/>
        <w:spacing w:beforeLines="50" w:before="180" w:afterLines="50" w:after="180" w:line="240" w:lineRule="auto"/>
        <w:ind w:left="718" w:hanging="576"/>
        <w:rPr>
          <w:rFonts w:ascii="Times New Roman" w:hAnsi="Times New Roman"/>
          <w:b w:val="0"/>
          <w:bCs w:val="0"/>
          <w:sz w:val="20"/>
          <w:szCs w:val="20"/>
          <w:lang w:val="en-US"/>
        </w:rPr>
      </w:pPr>
      <w:r w:rsidRPr="004E46C1">
        <w:rPr>
          <w:rFonts w:ascii="Times New Roman" w:hAnsi="Times New Roman"/>
          <w:sz w:val="20"/>
          <w:szCs w:val="20"/>
          <w:lang w:val="en-US"/>
        </w:rPr>
        <w:lastRenderedPageBreak/>
        <w:t xml:space="preserve">FG 27-10a Low latency MG activation request </w:t>
      </w:r>
    </w:p>
    <w:p w:rsidR="004E46C1" w:rsidRPr="00C312DB" w:rsidRDefault="004E46C1" w:rsidP="004E46C1">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For FG 27-10a, w</w:t>
      </w:r>
      <w:r w:rsidRPr="00C312DB">
        <w:rPr>
          <w:rFonts w:ascii="Times New Roman" w:hAnsi="Times New Roman" w:hint="eastAsia"/>
          <w:iCs/>
          <w:sz w:val="20"/>
          <w:szCs w:val="20"/>
        </w:rPr>
        <w:t>e think both 27-10 and 27-11</w:t>
      </w:r>
      <w:r>
        <w:rPr>
          <w:rFonts w:ascii="Times New Roman" w:hAnsi="Times New Roman" w:hint="eastAsia"/>
          <w:iCs/>
          <w:sz w:val="20"/>
          <w:szCs w:val="20"/>
        </w:rPr>
        <w:t xml:space="preserve"> is needed as the prerequis</w:t>
      </w:r>
      <w:r>
        <w:rPr>
          <w:rFonts w:ascii="Times New Roman" w:hAnsi="Times New Roman"/>
          <w:iCs/>
          <w:sz w:val="20"/>
          <w:szCs w:val="20"/>
        </w:rPr>
        <w:t>i</w:t>
      </w:r>
      <w:r>
        <w:rPr>
          <w:rFonts w:ascii="Times New Roman" w:hAnsi="Times New Roman" w:hint="eastAsia"/>
          <w:iCs/>
          <w:sz w:val="20"/>
          <w:szCs w:val="20"/>
        </w:rPr>
        <w:t xml:space="preserve">te. </w:t>
      </w:r>
      <w:r w:rsidRPr="00C312DB">
        <w:rPr>
          <w:rFonts w:ascii="Times New Roman" w:hAnsi="Times New Roman" w:hint="eastAsia"/>
          <w:iCs/>
          <w:sz w:val="20"/>
          <w:szCs w:val="20"/>
        </w:rPr>
        <w:t>First, 27-11 implies UE sup</w:t>
      </w:r>
      <w:r>
        <w:rPr>
          <w:rFonts w:ascii="Times New Roman" w:hAnsi="Times New Roman" w:hint="eastAsia"/>
          <w:iCs/>
          <w:sz w:val="20"/>
          <w:szCs w:val="20"/>
        </w:rPr>
        <w:t>ports pre-configuration of MGs</w:t>
      </w:r>
      <w:r>
        <w:rPr>
          <w:rFonts w:ascii="Times New Roman" w:hAnsi="Times New Roman"/>
          <w:iCs/>
          <w:sz w:val="20"/>
          <w:szCs w:val="20"/>
        </w:rPr>
        <w:t xml:space="preserve">, and </w:t>
      </w:r>
      <w:r w:rsidRPr="00C312DB">
        <w:rPr>
          <w:rFonts w:ascii="Times New Roman" w:hAnsi="Times New Roman" w:hint="eastAsia"/>
          <w:iCs/>
          <w:sz w:val="20"/>
          <w:szCs w:val="20"/>
        </w:rPr>
        <w:t>UE supporting 27-10a needs to sup</w:t>
      </w:r>
      <w:r>
        <w:rPr>
          <w:rFonts w:ascii="Times New Roman" w:hAnsi="Times New Roman" w:hint="eastAsia"/>
          <w:iCs/>
          <w:sz w:val="20"/>
          <w:szCs w:val="20"/>
        </w:rPr>
        <w:t xml:space="preserve">port pre-configuration of MGs. </w:t>
      </w:r>
      <w:r w:rsidRPr="00C312DB">
        <w:rPr>
          <w:rFonts w:ascii="Times New Roman" w:hAnsi="Times New Roman" w:hint="eastAsia"/>
          <w:iCs/>
          <w:sz w:val="20"/>
          <w:szCs w:val="20"/>
        </w:rPr>
        <w:t>Second, support of 27-10a must support 27-10 as well. If UE doesn</w:t>
      </w:r>
      <w:r w:rsidRPr="00C312DB">
        <w:rPr>
          <w:rFonts w:ascii="Times New Roman" w:hAnsi="Times New Roman"/>
          <w:iCs/>
          <w:sz w:val="20"/>
          <w:szCs w:val="20"/>
        </w:rPr>
        <w:t>’</w:t>
      </w:r>
      <w:r w:rsidRPr="00C312DB">
        <w:rPr>
          <w:rFonts w:ascii="Times New Roman" w:hAnsi="Times New Roman" w:hint="eastAsia"/>
          <w:iCs/>
          <w:sz w:val="20"/>
          <w:szCs w:val="20"/>
        </w:rPr>
        <w:t xml:space="preserve">t support 27-10 reporting to </w:t>
      </w:r>
      <w:proofErr w:type="spellStart"/>
      <w:r w:rsidRPr="00C312DB">
        <w:rPr>
          <w:rFonts w:ascii="Times New Roman" w:hAnsi="Times New Roman" w:hint="eastAsia"/>
          <w:iCs/>
          <w:sz w:val="20"/>
          <w:szCs w:val="20"/>
        </w:rPr>
        <w:t>gNB</w:t>
      </w:r>
      <w:proofErr w:type="spellEnd"/>
      <w:r w:rsidRPr="00C312DB">
        <w:rPr>
          <w:rFonts w:ascii="Times New Roman" w:hAnsi="Times New Roman" w:hint="eastAsia"/>
          <w:iCs/>
          <w:sz w:val="20"/>
          <w:szCs w:val="20"/>
        </w:rPr>
        <w:t xml:space="preserve">, it is not needed to report 27-10a. </w:t>
      </w:r>
    </w:p>
    <w:p w:rsidR="004E46C1" w:rsidRDefault="004E46C1" w:rsidP="004E46C1">
      <w:pPr>
        <w:adjustRightInd w:val="0"/>
        <w:snapToGrid w:val="0"/>
        <w:spacing w:before="50" w:after="5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4</w:t>
      </w:r>
      <w:r w:rsidRPr="00001E35">
        <w:rPr>
          <w:rFonts w:ascii="Times New Roman" w:hAnsi="Times New Roman" w:hint="eastAsia"/>
          <w:i/>
          <w:iCs/>
          <w:sz w:val="20"/>
          <w:szCs w:val="20"/>
        </w:rPr>
        <w:t xml:space="preserve">: </w:t>
      </w:r>
      <w:r>
        <w:rPr>
          <w:rFonts w:ascii="Times New Roman" w:hAnsi="Times New Roman"/>
          <w:i/>
          <w:iCs/>
          <w:sz w:val="20"/>
          <w:szCs w:val="20"/>
        </w:rPr>
        <w:t xml:space="preserve">For FG 27-10a, </w:t>
      </w:r>
      <w:r w:rsidRPr="003A01CA">
        <w:rPr>
          <w:rFonts w:ascii="Times New Roman" w:hAnsi="Times New Roman" w:hint="eastAsia"/>
          <w:i/>
          <w:iCs/>
          <w:sz w:val="20"/>
          <w:szCs w:val="20"/>
        </w:rPr>
        <w:t xml:space="preserve">both 27-10 and 27-11 </w:t>
      </w:r>
      <w:r>
        <w:rPr>
          <w:rFonts w:ascii="Times New Roman" w:hAnsi="Times New Roman"/>
          <w:i/>
          <w:iCs/>
          <w:sz w:val="20"/>
          <w:szCs w:val="20"/>
        </w:rPr>
        <w:t>should be</w:t>
      </w:r>
      <w:r w:rsidRPr="003A01CA">
        <w:rPr>
          <w:rFonts w:ascii="Times New Roman" w:hAnsi="Times New Roman" w:hint="eastAsia"/>
          <w:i/>
          <w:iCs/>
          <w:sz w:val="20"/>
          <w:szCs w:val="20"/>
        </w:rPr>
        <w:t xml:space="preserve"> </w:t>
      </w:r>
      <w:r w:rsidRPr="003A01CA">
        <w:rPr>
          <w:rFonts w:ascii="Times New Roman" w:hAnsi="Times New Roman"/>
          <w:i/>
          <w:iCs/>
          <w:sz w:val="20"/>
          <w:szCs w:val="20"/>
        </w:rPr>
        <w:t>prerequisite.</w:t>
      </w:r>
    </w:p>
    <w:p w:rsidR="004E46C1" w:rsidRDefault="004E46C1" w:rsidP="004E46C1">
      <w:pPr>
        <w:adjustRightInd w:val="0"/>
        <w:snapToGrid w:val="0"/>
        <w:spacing w:after="0" w:line="240" w:lineRule="auto"/>
        <w:jc w:val="both"/>
        <w:rPr>
          <w:rFonts w:ascii="Times New Roman" w:hAnsi="Times New Roman"/>
          <w:iCs/>
          <w:sz w:val="20"/>
          <w:szCs w:val="20"/>
        </w:rPr>
      </w:pPr>
    </w:p>
    <w:p w:rsidR="004E46C1" w:rsidRPr="004E46C1" w:rsidRDefault="004E46C1" w:rsidP="00276F3F">
      <w:pPr>
        <w:pStyle w:val="2"/>
        <w:numPr>
          <w:ilvl w:val="0"/>
          <w:numId w:val="0"/>
        </w:numPr>
        <w:snapToGrid w:val="0"/>
        <w:spacing w:beforeLines="50" w:before="180" w:afterLines="50" w:after="180" w:line="240" w:lineRule="auto"/>
        <w:ind w:left="718" w:hanging="576"/>
        <w:rPr>
          <w:rFonts w:ascii="Times New Roman" w:hAnsi="Times New Roman"/>
          <w:b w:val="0"/>
          <w:bCs w:val="0"/>
          <w:sz w:val="20"/>
          <w:szCs w:val="20"/>
          <w:lang w:val="en-US"/>
        </w:rPr>
      </w:pPr>
      <w:r w:rsidRPr="004E46C1">
        <w:rPr>
          <w:rFonts w:ascii="Times New Roman" w:hAnsi="Times New Roman"/>
          <w:sz w:val="20"/>
          <w:szCs w:val="20"/>
          <w:lang w:val="en-US"/>
        </w:rPr>
        <w:t>FG 27-16/27-19 OLPC and Spatial relation for SRS in RRC_INACTIVE</w:t>
      </w:r>
    </w:p>
    <w:p w:rsidR="004E46C1" w:rsidRDefault="004E46C1" w:rsidP="004E46C1">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FG</w:t>
      </w:r>
      <w:r w:rsidRPr="001121B6">
        <w:rPr>
          <w:rFonts w:ascii="Times New Roman" w:hAnsi="Times New Roman"/>
          <w:iCs/>
          <w:sz w:val="20"/>
          <w:szCs w:val="20"/>
        </w:rPr>
        <w:t xml:space="preserve"> 27-16 and 27-19 have a component description of ‘Same as RRC OLPC-SRS-Pos-r16’ and ‘Same as RRC SpatialRelationsSRS-Pos-r16</w:t>
      </w:r>
      <w:r>
        <w:rPr>
          <w:rFonts w:ascii="Times New Roman" w:hAnsi="Times New Roman"/>
          <w:iCs/>
          <w:sz w:val="20"/>
          <w:szCs w:val="20"/>
        </w:rPr>
        <w:t>’ respectively. Based on RAN2 pre-meeting email discussion, i</w:t>
      </w:r>
      <w:r w:rsidRPr="00ED7739">
        <w:rPr>
          <w:rFonts w:ascii="Times New Roman" w:hAnsi="Times New Roman"/>
          <w:iCs/>
          <w:sz w:val="20"/>
          <w:szCs w:val="20"/>
        </w:rPr>
        <w:t xml:space="preserve">t is unclear to </w:t>
      </w:r>
      <w:r>
        <w:rPr>
          <w:rFonts w:ascii="Times New Roman" w:hAnsi="Times New Roman"/>
          <w:iCs/>
          <w:sz w:val="20"/>
          <w:szCs w:val="20"/>
        </w:rPr>
        <w:t>RAN2 whether the pre-requisite of FG</w:t>
      </w:r>
      <w:r w:rsidRPr="00ED7739">
        <w:rPr>
          <w:rFonts w:ascii="Times New Roman" w:hAnsi="Times New Roman"/>
          <w:iCs/>
          <w:sz w:val="20"/>
          <w:szCs w:val="20"/>
        </w:rPr>
        <w:t xml:space="preserve"> 27-16/27-19 should be srs-PosResources-r16 as in RRC OLPC-SRS-Pos-r16/SpatialRelationsSRS-Pos-r16 or should be “srs-PosResourcesRRC-Inactive-r17” (i.e. </w:t>
      </w:r>
      <w:r>
        <w:rPr>
          <w:rFonts w:ascii="Times New Roman" w:hAnsi="Times New Roman"/>
          <w:iCs/>
          <w:sz w:val="20"/>
          <w:szCs w:val="20"/>
        </w:rPr>
        <w:t>FG</w:t>
      </w:r>
      <w:r w:rsidRPr="00ED7739">
        <w:rPr>
          <w:rFonts w:ascii="Times New Roman" w:hAnsi="Times New Roman"/>
          <w:iCs/>
          <w:sz w:val="20"/>
          <w:szCs w:val="20"/>
        </w:rPr>
        <w:t xml:space="preserve"> 27-15)). RAN2 would like RAN1 to clarify the pre-requisite used in the </w:t>
      </w:r>
      <w:r>
        <w:rPr>
          <w:rFonts w:ascii="Times New Roman" w:hAnsi="Times New Roman"/>
          <w:iCs/>
          <w:sz w:val="20"/>
          <w:szCs w:val="20"/>
        </w:rPr>
        <w:t>FG</w:t>
      </w:r>
      <w:r w:rsidRPr="00ED7739">
        <w:rPr>
          <w:rFonts w:ascii="Times New Roman" w:hAnsi="Times New Roman"/>
          <w:iCs/>
          <w:sz w:val="20"/>
          <w:szCs w:val="20"/>
        </w:rPr>
        <w:t xml:space="preserve"> 27-16 and 27-19.</w:t>
      </w:r>
    </w:p>
    <w:p w:rsidR="004E46C1" w:rsidRPr="001121B6" w:rsidRDefault="004E46C1" w:rsidP="004E46C1">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Since the two FGs</w:t>
      </w:r>
      <w:r w:rsidRPr="001121B6">
        <w:rPr>
          <w:rFonts w:ascii="Times New Roman" w:hAnsi="Times New Roman"/>
          <w:iCs/>
          <w:sz w:val="20"/>
          <w:szCs w:val="20"/>
        </w:rPr>
        <w:t xml:space="preserve"> should be </w:t>
      </w:r>
      <w:r>
        <w:rPr>
          <w:rFonts w:ascii="Times New Roman" w:hAnsi="Times New Roman"/>
          <w:iCs/>
          <w:sz w:val="20"/>
          <w:szCs w:val="20"/>
        </w:rPr>
        <w:t xml:space="preserve">for SRS in RRC_INACTIVE state, we believe that </w:t>
      </w:r>
      <w:r w:rsidRPr="001121B6">
        <w:rPr>
          <w:rFonts w:ascii="Times New Roman" w:hAnsi="Times New Roman"/>
          <w:iCs/>
          <w:sz w:val="20"/>
          <w:szCs w:val="20"/>
        </w:rPr>
        <w:t xml:space="preserve">“srs-PosResourcesRRC-Inactive-r17” (i.e. </w:t>
      </w:r>
      <w:r>
        <w:rPr>
          <w:rFonts w:ascii="Times New Roman" w:hAnsi="Times New Roman"/>
          <w:iCs/>
          <w:sz w:val="20"/>
          <w:szCs w:val="20"/>
        </w:rPr>
        <w:t>FG</w:t>
      </w:r>
      <w:r w:rsidRPr="001121B6">
        <w:rPr>
          <w:rFonts w:ascii="Times New Roman" w:hAnsi="Times New Roman"/>
          <w:iCs/>
          <w:sz w:val="20"/>
          <w:szCs w:val="20"/>
        </w:rPr>
        <w:t xml:space="preserve"> 27-15))</w:t>
      </w:r>
      <w:r>
        <w:rPr>
          <w:rFonts w:ascii="Times New Roman" w:hAnsi="Times New Roman"/>
          <w:iCs/>
          <w:sz w:val="20"/>
          <w:szCs w:val="20"/>
        </w:rPr>
        <w:t xml:space="preserve"> should be the prerequisite</w:t>
      </w:r>
      <w:r w:rsidRPr="001121B6">
        <w:rPr>
          <w:rFonts w:ascii="Times New Roman" w:hAnsi="Times New Roman"/>
          <w:iCs/>
          <w:sz w:val="20"/>
          <w:szCs w:val="20"/>
        </w:rPr>
        <w:t xml:space="preserve">. </w:t>
      </w:r>
    </w:p>
    <w:p w:rsidR="004E46C1" w:rsidRDefault="004E46C1" w:rsidP="004E46C1">
      <w:pPr>
        <w:adjustRightInd w:val="0"/>
        <w:snapToGrid w:val="0"/>
        <w:spacing w:before="50" w:after="5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5</w:t>
      </w:r>
      <w:r w:rsidRPr="00001E35">
        <w:rPr>
          <w:rFonts w:ascii="Times New Roman" w:hAnsi="Times New Roman" w:hint="eastAsia"/>
          <w:i/>
          <w:iCs/>
          <w:sz w:val="20"/>
          <w:szCs w:val="20"/>
        </w:rPr>
        <w:t xml:space="preserve">: </w:t>
      </w:r>
      <w:r>
        <w:rPr>
          <w:rFonts w:ascii="Times New Roman" w:hAnsi="Times New Roman"/>
          <w:i/>
          <w:iCs/>
          <w:sz w:val="20"/>
          <w:szCs w:val="20"/>
        </w:rPr>
        <w:t>For FG 27-16 and 27-19, FG</w:t>
      </w:r>
      <w:r w:rsidR="00643F8B">
        <w:rPr>
          <w:rFonts w:ascii="Times New Roman" w:hAnsi="Times New Roman"/>
          <w:i/>
          <w:iCs/>
          <w:sz w:val="20"/>
          <w:szCs w:val="20"/>
        </w:rPr>
        <w:t xml:space="preserve"> 27</w:t>
      </w:r>
      <w:r>
        <w:rPr>
          <w:rFonts w:ascii="Times New Roman" w:hAnsi="Times New Roman"/>
          <w:i/>
          <w:iCs/>
          <w:sz w:val="20"/>
          <w:szCs w:val="20"/>
        </w:rPr>
        <w:t>-15 should be the prerequisite</w:t>
      </w:r>
      <w:r w:rsidRPr="003A01CA">
        <w:rPr>
          <w:rFonts w:ascii="Times New Roman" w:hAnsi="Times New Roman"/>
          <w:i/>
          <w:iCs/>
          <w:sz w:val="20"/>
          <w:szCs w:val="20"/>
        </w:rPr>
        <w:t>.</w:t>
      </w:r>
    </w:p>
    <w:p w:rsidR="004E46C1" w:rsidRPr="00417CA5" w:rsidRDefault="004E46C1" w:rsidP="004E46C1">
      <w:pPr>
        <w:adjustRightInd w:val="0"/>
        <w:snapToGrid w:val="0"/>
        <w:spacing w:after="0" w:line="240" w:lineRule="auto"/>
        <w:jc w:val="both"/>
        <w:rPr>
          <w:rFonts w:ascii="Times New Roman" w:hAnsi="Times New Roman"/>
          <w:iCs/>
          <w:sz w:val="20"/>
          <w:szCs w:val="20"/>
        </w:rPr>
      </w:pPr>
    </w:p>
    <w:bookmarkEnd w:id="7"/>
    <w:p w:rsidR="004E46C1" w:rsidRDefault="004E46C1" w:rsidP="004E46C1">
      <w:pPr>
        <w:pStyle w:val="1"/>
        <w:numPr>
          <w:ilvl w:val="0"/>
          <w:numId w:val="3"/>
        </w:numPr>
        <w:snapToGrid w:val="0"/>
        <w:spacing w:beforeLines="50" w:before="180" w:afterLines="50" w:after="180"/>
        <w:ind w:left="431" w:hanging="431"/>
        <w:rPr>
          <w:sz w:val="28"/>
          <w:lang w:val="en-US"/>
        </w:rPr>
      </w:pPr>
      <w:r>
        <w:rPr>
          <w:sz w:val="28"/>
          <w:lang w:val="en-US"/>
        </w:rPr>
        <w:t>Conclusions</w:t>
      </w:r>
    </w:p>
    <w:p w:rsidR="004E46C1" w:rsidRDefault="004E46C1" w:rsidP="004E46C1">
      <w:pPr>
        <w:adjustRightInd w:val="0"/>
        <w:snapToGrid w:val="0"/>
        <w:spacing w:beforeLines="50" w:before="180" w:afterLines="50" w:after="180" w:line="240" w:lineRule="auto"/>
        <w:jc w:val="both"/>
        <w:rPr>
          <w:rFonts w:ascii="Times New Roman" w:hAnsi="Times New Roman"/>
          <w:sz w:val="20"/>
          <w:szCs w:val="20"/>
        </w:rPr>
      </w:pPr>
      <w:bookmarkStart w:id="8" w:name="OLE_LINK10"/>
      <w:bookmarkStart w:id="9" w:name="OLE_LINK11"/>
      <w:r>
        <w:rPr>
          <w:rFonts w:ascii="Times New Roman" w:hAnsi="Times New Roman"/>
          <w:sz w:val="20"/>
          <w:szCs w:val="20"/>
          <w:lang w:val="en-GB"/>
        </w:rPr>
        <w:t>In this contribution, we</w:t>
      </w:r>
      <w:r>
        <w:rPr>
          <w:rFonts w:ascii="Times New Roman" w:hAnsi="Times New Roman" w:hint="eastAsia"/>
          <w:sz w:val="20"/>
          <w:szCs w:val="20"/>
        </w:rPr>
        <w:t xml:space="preserve"> discuss the </w:t>
      </w:r>
      <w:r>
        <w:rPr>
          <w:rFonts w:ascii="Times New Roman" w:hAnsi="Times New Roman" w:hint="eastAsia"/>
          <w:sz w:val="20"/>
          <w:szCs w:val="20"/>
          <w:lang w:val="en-GB"/>
        </w:rPr>
        <w:t>UE features for Rel-17 NR positioning</w:t>
      </w:r>
      <w:r>
        <w:rPr>
          <w:rFonts w:ascii="Times New Roman" w:hAnsi="Times New Roman"/>
          <w:sz w:val="20"/>
          <w:szCs w:val="20"/>
        </w:rPr>
        <w:t xml:space="preserve">, the following proposals are suggested. </w:t>
      </w:r>
    </w:p>
    <w:p w:rsidR="004E46C1" w:rsidRDefault="004E46C1" w:rsidP="004E46C1">
      <w:pPr>
        <w:tabs>
          <w:tab w:val="left" w:pos="420"/>
        </w:tabs>
        <w:adjustRightInd w:val="0"/>
        <w:snapToGrid w:val="0"/>
        <w:spacing w:after="0" w:line="240" w:lineRule="auto"/>
        <w:jc w:val="both"/>
        <w:rPr>
          <w:rFonts w:ascii="Times New Roman" w:hAnsi="Times New Roman"/>
          <w:b/>
          <w:bCs/>
          <w:i/>
          <w:iCs/>
          <w:sz w:val="20"/>
          <w:szCs w:val="20"/>
        </w:rPr>
      </w:pPr>
      <w:r w:rsidRPr="008371FC">
        <w:rPr>
          <w:rFonts w:ascii="Times New Roman" w:hAnsi="Times New Roman" w:hint="eastAsia"/>
          <w:b/>
          <w:bCs/>
          <w:i/>
          <w:iCs/>
          <w:sz w:val="20"/>
          <w:szCs w:val="20"/>
        </w:rPr>
        <w:t>P</w:t>
      </w:r>
      <w:r w:rsidRPr="008371FC">
        <w:rPr>
          <w:rFonts w:ascii="Times New Roman" w:hAnsi="Times New Roman"/>
          <w:b/>
          <w:bCs/>
          <w:i/>
          <w:iCs/>
          <w:sz w:val="20"/>
          <w:szCs w:val="20"/>
        </w:rPr>
        <w:t xml:space="preserve">roposal 1: </w:t>
      </w:r>
      <w:r w:rsidRPr="008371FC">
        <w:rPr>
          <w:rFonts w:ascii="Times New Roman" w:hAnsi="Times New Roman"/>
          <w:bCs/>
          <w:i/>
          <w:iCs/>
          <w:sz w:val="20"/>
          <w:szCs w:val="20"/>
        </w:rPr>
        <w:t xml:space="preserve">For FG 27-3-1, </w:t>
      </w:r>
      <w:r>
        <w:rPr>
          <w:rFonts w:ascii="Times New Roman" w:hAnsi="Times New Roman"/>
          <w:bCs/>
          <w:i/>
          <w:iCs/>
          <w:sz w:val="20"/>
          <w:szCs w:val="20"/>
        </w:rPr>
        <w:t>M=</w:t>
      </w:r>
      <w:r w:rsidRPr="008371FC">
        <w:rPr>
          <w:rFonts w:ascii="Times New Roman" w:hAnsi="Times New Roman"/>
          <w:bCs/>
          <w:i/>
          <w:iCs/>
          <w:sz w:val="20"/>
          <w:szCs w:val="20"/>
        </w:rPr>
        <w:t xml:space="preserve">2 should be </w:t>
      </w:r>
      <w:r>
        <w:rPr>
          <w:rFonts w:ascii="Times New Roman" w:hAnsi="Times New Roman"/>
          <w:bCs/>
          <w:i/>
          <w:iCs/>
          <w:sz w:val="20"/>
          <w:szCs w:val="20"/>
        </w:rPr>
        <w:t>added</w:t>
      </w:r>
      <w:r w:rsidRPr="008371FC">
        <w:rPr>
          <w:rFonts w:ascii="Times New Roman" w:hAnsi="Times New Roman"/>
          <w:bCs/>
          <w:i/>
          <w:iCs/>
          <w:sz w:val="20"/>
          <w:szCs w:val="20"/>
        </w:rPr>
        <w:t>.</w:t>
      </w:r>
      <w:r>
        <w:rPr>
          <w:rFonts w:ascii="Times New Roman" w:hAnsi="Times New Roman"/>
          <w:b/>
          <w:bCs/>
          <w:i/>
          <w:iCs/>
          <w:sz w:val="20"/>
          <w:szCs w:val="20"/>
        </w:rPr>
        <w:t xml:space="preserve"> </w:t>
      </w:r>
    </w:p>
    <w:p w:rsidR="004E46C1" w:rsidRPr="005A702D" w:rsidRDefault="004E46C1" w:rsidP="004E46C1">
      <w:pPr>
        <w:tabs>
          <w:tab w:val="left" w:pos="420"/>
        </w:tabs>
        <w:adjustRightInd w:val="0"/>
        <w:snapToGrid w:val="0"/>
        <w:spacing w:beforeLines="50" w:before="180" w:afterLines="50" w:after="18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2</w:t>
      </w:r>
      <w:r w:rsidRPr="00001E35">
        <w:rPr>
          <w:rFonts w:ascii="Times New Roman" w:hAnsi="Times New Roman" w:hint="eastAsia"/>
          <w:i/>
          <w:iCs/>
          <w:sz w:val="20"/>
          <w:szCs w:val="20"/>
        </w:rPr>
        <w:t xml:space="preserve">: </w:t>
      </w:r>
      <w:r>
        <w:rPr>
          <w:rFonts w:ascii="Times New Roman" w:hAnsi="Times New Roman"/>
          <w:i/>
          <w:iCs/>
          <w:sz w:val="20"/>
          <w:szCs w:val="20"/>
        </w:rPr>
        <w:t>Define the component 2 of FG 27-3-3 as:</w:t>
      </w:r>
      <w:r w:rsidRPr="002D5295">
        <w:rPr>
          <w:rFonts w:ascii="Times New Roman" w:hAnsi="Times New Roman"/>
          <w:i/>
          <w:iCs/>
          <w:sz w:val="20"/>
          <w:szCs w:val="20"/>
        </w:rPr>
        <w:t xml:space="preserve"> </w:t>
      </w:r>
      <w:r w:rsidRPr="002D5295">
        <w:rPr>
          <w:rFonts w:ascii="Times New Roman" w:hAnsi="Times New Roman"/>
          <w:i/>
          <w:sz w:val="20"/>
          <w:szCs w:val="20"/>
        </w:rPr>
        <w:t xml:space="preserve">Maximum duration of DL PRS symbols N in units of </w:t>
      </w:r>
      <w:proofErr w:type="spellStart"/>
      <w:r w:rsidRPr="002D5295">
        <w:rPr>
          <w:rFonts w:ascii="Times New Roman" w:hAnsi="Times New Roman"/>
          <w:i/>
          <w:sz w:val="20"/>
          <w:szCs w:val="20"/>
        </w:rPr>
        <w:t>ms</w:t>
      </w:r>
      <w:proofErr w:type="spellEnd"/>
      <w:r w:rsidRPr="002D5295">
        <w:rPr>
          <w:rFonts w:ascii="Times New Roman" w:hAnsi="Times New Roman"/>
          <w:i/>
          <w:sz w:val="20"/>
          <w:szCs w:val="20"/>
        </w:rPr>
        <w:t xml:space="preserve"> a UE can process in the first part of a PRS processing window assuming maximum DL PRS bandwidth in MHz, such that the UE is capable of reporting the measurements T-N </w:t>
      </w:r>
      <w:proofErr w:type="spellStart"/>
      <w:r w:rsidRPr="002D5295">
        <w:rPr>
          <w:rFonts w:ascii="Times New Roman" w:hAnsi="Times New Roman"/>
          <w:i/>
          <w:sz w:val="20"/>
          <w:szCs w:val="20"/>
        </w:rPr>
        <w:t>ms</w:t>
      </w:r>
      <w:proofErr w:type="spellEnd"/>
      <w:r w:rsidRPr="002D5295">
        <w:rPr>
          <w:rFonts w:ascii="Times New Roman" w:hAnsi="Times New Roman"/>
          <w:i/>
          <w:sz w:val="20"/>
          <w:szCs w:val="20"/>
        </w:rPr>
        <w:t xml:space="preserve"> after the last PRS symbol</w:t>
      </w:r>
      <w:r>
        <w:rPr>
          <w:rFonts w:ascii="Times New Roman" w:hAnsi="Times New Roman"/>
          <w:i/>
          <w:iCs/>
          <w:sz w:val="20"/>
          <w:szCs w:val="20"/>
        </w:rPr>
        <w:t xml:space="preserve">. </w:t>
      </w:r>
    </w:p>
    <w:p w:rsidR="004E46C1" w:rsidRDefault="004E46C1" w:rsidP="004E46C1">
      <w:pPr>
        <w:adjustRightInd w:val="0"/>
        <w:snapToGrid w:val="0"/>
        <w:spacing w:beforeLines="50" w:before="180" w:afterLines="50" w:after="180" w:line="240" w:lineRule="auto"/>
        <w:jc w:val="both"/>
        <w:rPr>
          <w:rFonts w:ascii="Times New Roman" w:hAnsi="Times New Roman"/>
          <w:i/>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3</w:t>
      </w:r>
      <w:r w:rsidRPr="00001E35">
        <w:rPr>
          <w:rFonts w:ascii="Times New Roman" w:hAnsi="Times New Roman" w:hint="eastAsia"/>
          <w:i/>
          <w:iCs/>
          <w:sz w:val="20"/>
          <w:szCs w:val="20"/>
        </w:rPr>
        <w:t xml:space="preserve">: </w:t>
      </w:r>
      <w:r>
        <w:rPr>
          <w:rFonts w:ascii="Times New Roman" w:hAnsi="Times New Roman"/>
          <w:i/>
          <w:iCs/>
          <w:sz w:val="20"/>
          <w:szCs w:val="20"/>
        </w:rPr>
        <w:t xml:space="preserve">FG 27-3-2 and 27-3-3 should be reported together. </w:t>
      </w:r>
    </w:p>
    <w:p w:rsidR="004E46C1" w:rsidRDefault="004E46C1" w:rsidP="004E46C1">
      <w:pPr>
        <w:adjustRightInd w:val="0"/>
        <w:snapToGrid w:val="0"/>
        <w:spacing w:before="50" w:after="5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4</w:t>
      </w:r>
      <w:r w:rsidRPr="00001E35">
        <w:rPr>
          <w:rFonts w:ascii="Times New Roman" w:hAnsi="Times New Roman" w:hint="eastAsia"/>
          <w:i/>
          <w:iCs/>
          <w:sz w:val="20"/>
          <w:szCs w:val="20"/>
        </w:rPr>
        <w:t xml:space="preserve">: </w:t>
      </w:r>
      <w:r>
        <w:rPr>
          <w:rFonts w:ascii="Times New Roman" w:hAnsi="Times New Roman"/>
          <w:i/>
          <w:iCs/>
          <w:sz w:val="20"/>
          <w:szCs w:val="20"/>
        </w:rPr>
        <w:t xml:space="preserve">For FG 27-10a, </w:t>
      </w:r>
      <w:r w:rsidRPr="003A01CA">
        <w:rPr>
          <w:rFonts w:ascii="Times New Roman" w:hAnsi="Times New Roman" w:hint="eastAsia"/>
          <w:i/>
          <w:iCs/>
          <w:sz w:val="20"/>
          <w:szCs w:val="20"/>
        </w:rPr>
        <w:t xml:space="preserve">both 27-10 and 27-11 </w:t>
      </w:r>
      <w:r>
        <w:rPr>
          <w:rFonts w:ascii="Times New Roman" w:hAnsi="Times New Roman"/>
          <w:i/>
          <w:iCs/>
          <w:sz w:val="20"/>
          <w:szCs w:val="20"/>
        </w:rPr>
        <w:t>should be</w:t>
      </w:r>
      <w:r w:rsidRPr="003A01CA">
        <w:rPr>
          <w:rFonts w:ascii="Times New Roman" w:hAnsi="Times New Roman" w:hint="eastAsia"/>
          <w:i/>
          <w:iCs/>
          <w:sz w:val="20"/>
          <w:szCs w:val="20"/>
        </w:rPr>
        <w:t xml:space="preserve"> </w:t>
      </w:r>
      <w:r w:rsidRPr="003A01CA">
        <w:rPr>
          <w:rFonts w:ascii="Times New Roman" w:hAnsi="Times New Roman"/>
          <w:i/>
          <w:iCs/>
          <w:sz w:val="20"/>
          <w:szCs w:val="20"/>
        </w:rPr>
        <w:t>prerequisite.</w:t>
      </w:r>
    </w:p>
    <w:p w:rsidR="004E46C1" w:rsidRPr="00D17EEA" w:rsidRDefault="004E46C1" w:rsidP="004E46C1">
      <w:pPr>
        <w:adjustRightInd w:val="0"/>
        <w:snapToGrid w:val="0"/>
        <w:spacing w:before="50" w:after="5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Pr>
          <w:rFonts w:ascii="Times New Roman" w:hAnsi="Times New Roman"/>
          <w:b/>
          <w:bCs/>
          <w:i/>
          <w:iCs/>
          <w:sz w:val="20"/>
          <w:szCs w:val="20"/>
        </w:rPr>
        <w:t>5</w:t>
      </w:r>
      <w:r w:rsidRPr="00001E35">
        <w:rPr>
          <w:rFonts w:ascii="Times New Roman" w:hAnsi="Times New Roman" w:hint="eastAsia"/>
          <w:i/>
          <w:iCs/>
          <w:sz w:val="20"/>
          <w:szCs w:val="20"/>
        </w:rPr>
        <w:t xml:space="preserve">: </w:t>
      </w:r>
      <w:r>
        <w:rPr>
          <w:rFonts w:ascii="Times New Roman" w:hAnsi="Times New Roman"/>
          <w:i/>
          <w:iCs/>
          <w:sz w:val="20"/>
          <w:szCs w:val="20"/>
        </w:rPr>
        <w:t>For FG 27-16 and 27-19, FG</w:t>
      </w:r>
      <w:r w:rsidR="00F411D7">
        <w:rPr>
          <w:rFonts w:ascii="Times New Roman" w:hAnsi="Times New Roman"/>
          <w:i/>
          <w:iCs/>
          <w:sz w:val="20"/>
          <w:szCs w:val="20"/>
        </w:rPr>
        <w:t xml:space="preserve"> 27</w:t>
      </w:r>
      <w:bookmarkStart w:id="10" w:name="_GoBack"/>
      <w:bookmarkEnd w:id="10"/>
      <w:r>
        <w:rPr>
          <w:rFonts w:ascii="Times New Roman" w:hAnsi="Times New Roman"/>
          <w:i/>
          <w:iCs/>
          <w:sz w:val="20"/>
          <w:szCs w:val="20"/>
        </w:rPr>
        <w:t>-15 should be the prerequisite</w:t>
      </w:r>
      <w:r w:rsidRPr="003A01CA">
        <w:rPr>
          <w:rFonts w:ascii="Times New Roman" w:hAnsi="Times New Roman"/>
          <w:i/>
          <w:iCs/>
          <w:sz w:val="20"/>
          <w:szCs w:val="20"/>
        </w:rPr>
        <w:t>.</w:t>
      </w:r>
    </w:p>
    <w:p w:rsidR="004E46C1" w:rsidRDefault="004E46C1" w:rsidP="004E46C1">
      <w:pPr>
        <w:pStyle w:val="1"/>
        <w:numPr>
          <w:ilvl w:val="0"/>
          <w:numId w:val="3"/>
        </w:numPr>
        <w:snapToGrid w:val="0"/>
        <w:spacing w:beforeLines="50" w:before="180" w:afterLines="50" w:after="180"/>
        <w:ind w:left="431" w:hanging="431"/>
        <w:rPr>
          <w:sz w:val="28"/>
          <w:lang w:val="en-US"/>
        </w:rPr>
      </w:pPr>
      <w:r>
        <w:rPr>
          <w:sz w:val="28"/>
          <w:lang w:val="en-US"/>
        </w:rPr>
        <w:t>References</w:t>
      </w:r>
    </w:p>
    <w:bookmarkEnd w:id="8"/>
    <w:bookmarkEnd w:id="9"/>
    <w:p w:rsidR="004E46C1" w:rsidRDefault="004E46C1" w:rsidP="004E46C1">
      <w:pPr>
        <w:pStyle w:val="NoSpacing1"/>
        <w:numPr>
          <w:ilvl w:val="0"/>
          <w:numId w:val="8"/>
        </w:numPr>
        <w:snapToGrid w:val="0"/>
        <w:jc w:val="both"/>
        <w:rPr>
          <w:bCs/>
          <w:sz w:val="20"/>
          <w:szCs w:val="20"/>
        </w:rPr>
      </w:pPr>
      <w:r w:rsidRPr="00C23338">
        <w:rPr>
          <w:bCs/>
          <w:sz w:val="20"/>
          <w:szCs w:val="20"/>
        </w:rPr>
        <w:t>R1-220</w:t>
      </w:r>
      <w:r>
        <w:rPr>
          <w:bCs/>
          <w:sz w:val="20"/>
          <w:szCs w:val="20"/>
        </w:rPr>
        <w:t>2928</w:t>
      </w:r>
      <w:r w:rsidRPr="005E28F5">
        <w:rPr>
          <w:bCs/>
          <w:sz w:val="20"/>
          <w:szCs w:val="20"/>
        </w:rPr>
        <w:t xml:space="preserve"> Updated RAN1 UE features list for Rel-17 NR after RAN1 #108-e</w:t>
      </w:r>
      <w:r w:rsidRPr="00C23338">
        <w:rPr>
          <w:bCs/>
          <w:sz w:val="20"/>
          <w:szCs w:val="20"/>
        </w:rPr>
        <w:t xml:space="preserve"> Moderators (AT&amp;T, NTT DOCOMO, INC.)</w:t>
      </w:r>
    </w:p>
    <w:p w:rsidR="004E46C1" w:rsidRPr="00C23338" w:rsidRDefault="004E46C1" w:rsidP="004E46C1">
      <w:pPr>
        <w:pStyle w:val="NoSpacing1"/>
        <w:snapToGrid w:val="0"/>
        <w:jc w:val="both"/>
        <w:rPr>
          <w:bCs/>
          <w:sz w:val="20"/>
          <w:szCs w:val="20"/>
        </w:rPr>
      </w:pPr>
    </w:p>
    <w:p w:rsidR="004E46C1" w:rsidRPr="00F5523E" w:rsidRDefault="004E46C1" w:rsidP="004E46C1">
      <w:pPr>
        <w:snapToGrid w:val="0"/>
        <w:rPr>
          <w:rFonts w:ascii="Times New Roman" w:hAnsi="Times New Roman"/>
          <w:sz w:val="20"/>
          <w:szCs w:val="20"/>
        </w:rPr>
      </w:pPr>
    </w:p>
    <w:p w:rsidR="00084B13" w:rsidRPr="004E46C1" w:rsidRDefault="00084B13" w:rsidP="004E46C1">
      <w:pPr>
        <w:adjustRightInd w:val="0"/>
        <w:snapToGrid w:val="0"/>
        <w:spacing w:beforeLines="50" w:before="180" w:afterLines="50" w:after="180" w:line="240" w:lineRule="auto"/>
        <w:jc w:val="both"/>
        <w:rPr>
          <w:rFonts w:ascii="Times New Roman" w:hAnsi="Times New Roman"/>
          <w:sz w:val="20"/>
          <w:szCs w:val="20"/>
        </w:rPr>
      </w:pPr>
    </w:p>
    <w:sectPr w:rsidR="00084B13" w:rsidRPr="004E46C1">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DD0" w:rsidRDefault="00F76DD0">
      <w:pPr>
        <w:spacing w:after="0" w:line="240" w:lineRule="auto"/>
      </w:pPr>
      <w:r>
        <w:separator/>
      </w:r>
    </w:p>
  </w:endnote>
  <w:endnote w:type="continuationSeparator" w:id="0">
    <w:p w:rsidR="00F76DD0" w:rsidRDefault="00F76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084B13" w:rsidRDefault="001E1499">
        <w:pPr>
          <w:pStyle w:val="ae"/>
          <w:jc w:val="center"/>
        </w:pPr>
        <w:r>
          <w:fldChar w:fldCharType="begin"/>
        </w:r>
        <w:r>
          <w:instrText xml:space="preserve"> PAGE   \* MERGEFORMAT </w:instrText>
        </w:r>
        <w:r>
          <w:fldChar w:fldCharType="separate"/>
        </w:r>
        <w:r w:rsidR="00F411D7" w:rsidRPr="00F411D7">
          <w:rPr>
            <w:noProof/>
            <w:lang w:val="zh-CN"/>
          </w:rPr>
          <w:t>2</w:t>
        </w:r>
        <w:r>
          <w:rPr>
            <w:lang w:val="zh-CN"/>
          </w:rPr>
          <w:fldChar w:fldCharType="end"/>
        </w:r>
      </w:p>
    </w:sdtContent>
  </w:sdt>
  <w:p w:rsidR="00084B13" w:rsidRDefault="00084B1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DD0" w:rsidRDefault="00F76DD0">
      <w:pPr>
        <w:spacing w:after="0" w:line="240" w:lineRule="auto"/>
      </w:pPr>
      <w:r>
        <w:separator/>
      </w:r>
    </w:p>
  </w:footnote>
  <w:footnote w:type="continuationSeparator" w:id="0">
    <w:p w:rsidR="00F76DD0" w:rsidRDefault="00F76D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nsid w:val="B317893E"/>
    <w:multiLevelType w:val="singleLevel"/>
    <w:tmpl w:val="B317893E"/>
    <w:lvl w:ilvl="0">
      <w:start w:val="1"/>
      <w:numFmt w:val="decimal"/>
      <w:suff w:val="space"/>
      <w:lvlText w:val="[%1]"/>
      <w:lvlJc w:val="left"/>
    </w:lvl>
  </w:abstractNum>
  <w:abstractNum w:abstractNumId="2">
    <w:nsid w:val="2B175135"/>
    <w:multiLevelType w:val="multilevel"/>
    <w:tmpl w:val="2B175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3286CDE"/>
    <w:multiLevelType w:val="multilevel"/>
    <w:tmpl w:val="8E444D56"/>
    <w:lvl w:ilvl="0">
      <w:start w:val="1"/>
      <w:numFmt w:val="bullet"/>
      <w:lvlText w:val="●"/>
      <w:lvlJc w:val="left"/>
      <w:pPr>
        <w:ind w:left="-36" w:hanging="284"/>
      </w:pPr>
      <w:rPr>
        <w:rFonts w:ascii="Times New Roman" w:hAnsi="Times New Roman" w:cs="Times New Roman" w:hint="default"/>
        <w:sz w:val="22"/>
        <w:szCs w:val="22"/>
      </w:rPr>
    </w:lvl>
    <w:lvl w:ilvl="1">
      <w:start w:val="1"/>
      <w:numFmt w:val="bullet"/>
      <w:lvlText w:val="○"/>
      <w:lvlJc w:val="left"/>
      <w:pPr>
        <w:ind w:left="247" w:hanging="283"/>
      </w:pPr>
      <w:rPr>
        <w:rFonts w:ascii="Times New Roman" w:hAnsi="Times New Roman" w:cs="Times New Roman" w:hint="default"/>
        <w:sz w:val="22"/>
        <w:szCs w:val="22"/>
      </w:rPr>
    </w:lvl>
    <w:lvl w:ilvl="2">
      <w:start w:val="1"/>
      <w:numFmt w:val="bullet"/>
      <w:lvlText w:val="♦"/>
      <w:lvlJc w:val="left"/>
      <w:pPr>
        <w:ind w:left="531" w:hanging="284"/>
      </w:pPr>
      <w:rPr>
        <w:rFonts w:ascii="Times New Roman" w:hAnsi="Times New Roman" w:cs="Times New Roman" w:hint="default"/>
        <w:sz w:val="22"/>
        <w:szCs w:val="22"/>
      </w:rPr>
    </w:lvl>
    <w:lvl w:ilvl="3">
      <w:start w:val="1"/>
      <w:numFmt w:val="bullet"/>
      <w:lvlText w:val="□"/>
      <w:lvlJc w:val="left"/>
      <w:pPr>
        <w:ind w:left="814" w:hanging="283"/>
      </w:pPr>
      <w:rPr>
        <w:rFonts w:ascii="Times New Roman" w:hAnsi="Times New Roman" w:cs="Times New Roman" w:hint="default"/>
      </w:rPr>
    </w:lvl>
    <w:lvl w:ilvl="4">
      <w:start w:val="1"/>
      <w:numFmt w:val="bullet"/>
      <w:lvlText w:val="▪"/>
      <w:lvlJc w:val="left"/>
      <w:pPr>
        <w:ind w:left="1098" w:hanging="284"/>
      </w:pPr>
      <w:rPr>
        <w:rFonts w:ascii="Times New Roman" w:hAnsi="Times New Roman" w:cs="Times New Roman" w:hint="default"/>
      </w:rPr>
    </w:lvl>
    <w:lvl w:ilvl="5">
      <w:start w:val="1"/>
      <w:numFmt w:val="lowerRoman"/>
      <w:lvlText w:val="(%6)"/>
      <w:lvlJc w:val="left"/>
      <w:pPr>
        <w:ind w:left="1840" w:hanging="360"/>
      </w:pPr>
      <w:rPr>
        <w:rFonts w:ascii="Times New Roman" w:hAnsi="Times New Roman" w:cs="Times New Roman" w:hint="default"/>
      </w:rPr>
    </w:lvl>
    <w:lvl w:ilvl="6">
      <w:start w:val="1"/>
      <w:numFmt w:val="decimal"/>
      <w:lvlText w:val="%7."/>
      <w:lvlJc w:val="left"/>
      <w:pPr>
        <w:ind w:left="2200" w:hanging="360"/>
      </w:pPr>
      <w:rPr>
        <w:rFonts w:ascii="Times New Roman" w:hAnsi="Times New Roman" w:cs="Times New Roman" w:hint="default"/>
      </w:rPr>
    </w:lvl>
    <w:lvl w:ilvl="7">
      <w:start w:val="1"/>
      <w:numFmt w:val="lowerLetter"/>
      <w:lvlText w:val="%8."/>
      <w:lvlJc w:val="left"/>
      <w:pPr>
        <w:ind w:left="2560" w:hanging="360"/>
      </w:pPr>
      <w:rPr>
        <w:rFonts w:ascii="Times New Roman" w:hAnsi="Times New Roman" w:cs="Times New Roman" w:hint="default"/>
      </w:rPr>
    </w:lvl>
    <w:lvl w:ilvl="8">
      <w:start w:val="1"/>
      <w:numFmt w:val="lowerRoman"/>
      <w:lvlText w:val="%9."/>
      <w:lvlJc w:val="left"/>
      <w:pPr>
        <w:ind w:left="2920" w:hanging="360"/>
      </w:pPr>
      <w:rPr>
        <w:rFonts w:ascii="Times New Roman" w:hAnsi="Times New Roman" w:cs="Times New Roman" w:hint="default"/>
      </w:rPr>
    </w:lvl>
  </w:abstractNum>
  <w:abstractNum w:abstractNumId="5">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5BA076D4"/>
    <w:multiLevelType w:val="multilevel"/>
    <w:tmpl w:val="5BA076D4"/>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7">
    <w:nsid w:val="65108412"/>
    <w:multiLevelType w:val="singleLevel"/>
    <w:tmpl w:val="65108412"/>
    <w:lvl w:ilvl="0">
      <w:start w:val="1"/>
      <w:numFmt w:val="bullet"/>
      <w:pStyle w:val="a"/>
      <w:lvlText w:val=""/>
      <w:lvlJc w:val="left"/>
      <w:pPr>
        <w:tabs>
          <w:tab w:val="left" w:pos="360"/>
        </w:tabs>
        <w:ind w:left="360" w:hanging="360"/>
      </w:pPr>
      <w:rPr>
        <w:rFonts w:ascii="Wingdings" w:hAnsi="Wingdings" w:hint="default"/>
      </w:rPr>
    </w:lvl>
  </w:abstractNum>
  <w:abstractNum w:abstractNumId="8">
    <w:nsid w:val="6A23151C"/>
    <w:multiLevelType w:val="hybridMultilevel"/>
    <w:tmpl w:val="1C286AAE"/>
    <w:lvl w:ilvl="0" w:tplc="5E93823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6"/>
  </w:num>
  <w:num w:numId="4">
    <w:abstractNumId w:val="0"/>
  </w:num>
  <w:num w:numId="5">
    <w:abstractNumId w:val="2"/>
  </w:num>
  <w:num w:numId="6">
    <w:abstractNumId w:val="1"/>
  </w:num>
  <w:num w:numId="7">
    <w:abstractNumId w:val="7"/>
  </w:num>
  <w:num w:numId="8">
    <w:abstractNumId w:val="8"/>
  </w:num>
  <w:num w:numId="9">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561"/>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37"/>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728"/>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2B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CE"/>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B39"/>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B13"/>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663"/>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682"/>
    <w:rsid w:val="000A09FA"/>
    <w:rsid w:val="000A0B53"/>
    <w:rsid w:val="000A0D35"/>
    <w:rsid w:val="000A0EB0"/>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A3"/>
    <w:rsid w:val="000C64C0"/>
    <w:rsid w:val="000C6A81"/>
    <w:rsid w:val="000C6BDA"/>
    <w:rsid w:val="000C6E60"/>
    <w:rsid w:val="000C6F96"/>
    <w:rsid w:val="000C78F5"/>
    <w:rsid w:val="000C7A0C"/>
    <w:rsid w:val="000C7AE4"/>
    <w:rsid w:val="000D03D4"/>
    <w:rsid w:val="000D06DB"/>
    <w:rsid w:val="000D0C2E"/>
    <w:rsid w:val="000D11A2"/>
    <w:rsid w:val="000D121B"/>
    <w:rsid w:val="000D1629"/>
    <w:rsid w:val="000D1708"/>
    <w:rsid w:val="000D17F4"/>
    <w:rsid w:val="000D1B9D"/>
    <w:rsid w:val="000D211B"/>
    <w:rsid w:val="000D2943"/>
    <w:rsid w:val="000D37BF"/>
    <w:rsid w:val="000D3917"/>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18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EE"/>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E59"/>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6C"/>
    <w:rsid w:val="001B24AE"/>
    <w:rsid w:val="001B294F"/>
    <w:rsid w:val="001B2DA1"/>
    <w:rsid w:val="001B3283"/>
    <w:rsid w:val="001B3288"/>
    <w:rsid w:val="001B354F"/>
    <w:rsid w:val="001B376F"/>
    <w:rsid w:val="001B3865"/>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36"/>
    <w:rsid w:val="001D0969"/>
    <w:rsid w:val="001D0AFA"/>
    <w:rsid w:val="001D0D46"/>
    <w:rsid w:val="001D10DB"/>
    <w:rsid w:val="001D1182"/>
    <w:rsid w:val="001D11CA"/>
    <w:rsid w:val="001D13F2"/>
    <w:rsid w:val="001D157D"/>
    <w:rsid w:val="001D16D0"/>
    <w:rsid w:val="001D19A5"/>
    <w:rsid w:val="001D1A02"/>
    <w:rsid w:val="001D1EB8"/>
    <w:rsid w:val="001D2AC6"/>
    <w:rsid w:val="001D2C6B"/>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99"/>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163"/>
    <w:rsid w:val="002256C9"/>
    <w:rsid w:val="002256E3"/>
    <w:rsid w:val="00225AF4"/>
    <w:rsid w:val="00225E4E"/>
    <w:rsid w:val="002261C0"/>
    <w:rsid w:val="002265B4"/>
    <w:rsid w:val="002268E2"/>
    <w:rsid w:val="002268F2"/>
    <w:rsid w:val="00226CE8"/>
    <w:rsid w:val="00230482"/>
    <w:rsid w:val="002308D8"/>
    <w:rsid w:val="00230D90"/>
    <w:rsid w:val="00230F42"/>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6FA"/>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6D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3D4"/>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C76"/>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3F"/>
    <w:rsid w:val="00277270"/>
    <w:rsid w:val="002772D0"/>
    <w:rsid w:val="00277646"/>
    <w:rsid w:val="00280041"/>
    <w:rsid w:val="00280049"/>
    <w:rsid w:val="002800E4"/>
    <w:rsid w:val="002809E4"/>
    <w:rsid w:val="00280D6F"/>
    <w:rsid w:val="00281283"/>
    <w:rsid w:val="002812B5"/>
    <w:rsid w:val="002813BC"/>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24"/>
    <w:rsid w:val="002A5A9F"/>
    <w:rsid w:val="002A5AA9"/>
    <w:rsid w:val="002A5AC5"/>
    <w:rsid w:val="002A5B7F"/>
    <w:rsid w:val="002A5E8E"/>
    <w:rsid w:val="002A5E9E"/>
    <w:rsid w:val="002A63EC"/>
    <w:rsid w:val="002A69D7"/>
    <w:rsid w:val="002A6F4F"/>
    <w:rsid w:val="002A6FAE"/>
    <w:rsid w:val="002A7AD9"/>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843"/>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658"/>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D3B"/>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1F8"/>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A3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2B1"/>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A5"/>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6BE"/>
    <w:rsid w:val="003359CC"/>
    <w:rsid w:val="00335E61"/>
    <w:rsid w:val="003361A3"/>
    <w:rsid w:val="0033642D"/>
    <w:rsid w:val="0033688B"/>
    <w:rsid w:val="00336B46"/>
    <w:rsid w:val="00336B7B"/>
    <w:rsid w:val="00336C35"/>
    <w:rsid w:val="00336DFE"/>
    <w:rsid w:val="00336FF6"/>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A1"/>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5CF"/>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0EF"/>
    <w:rsid w:val="003834AC"/>
    <w:rsid w:val="003840EF"/>
    <w:rsid w:val="003842AA"/>
    <w:rsid w:val="003842D0"/>
    <w:rsid w:val="003843E2"/>
    <w:rsid w:val="00384687"/>
    <w:rsid w:val="00384CA4"/>
    <w:rsid w:val="00385031"/>
    <w:rsid w:val="00385102"/>
    <w:rsid w:val="00385124"/>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328"/>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2DC"/>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FF"/>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2AB"/>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229"/>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A0D"/>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BE1"/>
    <w:rsid w:val="00423E1D"/>
    <w:rsid w:val="00423F94"/>
    <w:rsid w:val="00423FC4"/>
    <w:rsid w:val="0042407D"/>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218"/>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52B"/>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CF"/>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1EBC"/>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0F7"/>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C1"/>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9A3"/>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E6"/>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9B4"/>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4DE"/>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8C2"/>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88C"/>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452"/>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8A7"/>
    <w:rsid w:val="005A2D54"/>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ABE"/>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5C2"/>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F8B"/>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CCA"/>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09"/>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3CA"/>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4E"/>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046"/>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207"/>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C7E"/>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BF"/>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AE"/>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AFF"/>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4CFD"/>
    <w:rsid w:val="00725032"/>
    <w:rsid w:val="007251DD"/>
    <w:rsid w:val="0072594A"/>
    <w:rsid w:val="00725D6A"/>
    <w:rsid w:val="00725EF2"/>
    <w:rsid w:val="00726090"/>
    <w:rsid w:val="00726140"/>
    <w:rsid w:val="007263F0"/>
    <w:rsid w:val="0072649C"/>
    <w:rsid w:val="00726A0F"/>
    <w:rsid w:val="00726C84"/>
    <w:rsid w:val="00726D3A"/>
    <w:rsid w:val="00726E20"/>
    <w:rsid w:val="007270EF"/>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A47"/>
    <w:rsid w:val="00740C35"/>
    <w:rsid w:val="007418E1"/>
    <w:rsid w:val="00741A23"/>
    <w:rsid w:val="007427FC"/>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09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3B8"/>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262"/>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F18"/>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8C"/>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0BD"/>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B9B"/>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68B"/>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2F5"/>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2F"/>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5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1EB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31C"/>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2C"/>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27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8AD"/>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D7"/>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05"/>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69"/>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121"/>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303"/>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35D"/>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523"/>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3FB2"/>
    <w:rsid w:val="009E405D"/>
    <w:rsid w:val="009E45EA"/>
    <w:rsid w:val="009E4A2D"/>
    <w:rsid w:val="009E50C1"/>
    <w:rsid w:val="009E51DE"/>
    <w:rsid w:val="009E53B3"/>
    <w:rsid w:val="009E54FA"/>
    <w:rsid w:val="009E55CA"/>
    <w:rsid w:val="009E5724"/>
    <w:rsid w:val="009E5BA6"/>
    <w:rsid w:val="009E5CAC"/>
    <w:rsid w:val="009E618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4C24"/>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895"/>
    <w:rsid w:val="00A279AF"/>
    <w:rsid w:val="00A279C1"/>
    <w:rsid w:val="00A27B06"/>
    <w:rsid w:val="00A27B4B"/>
    <w:rsid w:val="00A27C4A"/>
    <w:rsid w:val="00A27C52"/>
    <w:rsid w:val="00A30247"/>
    <w:rsid w:val="00A303E2"/>
    <w:rsid w:val="00A3050B"/>
    <w:rsid w:val="00A30677"/>
    <w:rsid w:val="00A30C04"/>
    <w:rsid w:val="00A30DBE"/>
    <w:rsid w:val="00A3105A"/>
    <w:rsid w:val="00A3118C"/>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3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E91"/>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B65"/>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E35"/>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4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3FF7"/>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28"/>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3A2"/>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912"/>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E57"/>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13"/>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9F"/>
    <w:rsid w:val="00BD54D5"/>
    <w:rsid w:val="00BD5A37"/>
    <w:rsid w:val="00BD5CA4"/>
    <w:rsid w:val="00BD5E80"/>
    <w:rsid w:val="00BD6284"/>
    <w:rsid w:val="00BD637C"/>
    <w:rsid w:val="00BD68B6"/>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BE"/>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DE8"/>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0FCF"/>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85"/>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162"/>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475"/>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3FC"/>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75E"/>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4E5"/>
    <w:rsid w:val="00CE3553"/>
    <w:rsid w:val="00CE361A"/>
    <w:rsid w:val="00CE36DF"/>
    <w:rsid w:val="00CE36F6"/>
    <w:rsid w:val="00CE37CF"/>
    <w:rsid w:val="00CE39D8"/>
    <w:rsid w:val="00CE3EFA"/>
    <w:rsid w:val="00CE4586"/>
    <w:rsid w:val="00CE45F0"/>
    <w:rsid w:val="00CE49A6"/>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E8"/>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6C"/>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99C"/>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064"/>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BC8"/>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2D"/>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2A8"/>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A8E"/>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A56"/>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145"/>
    <w:rsid w:val="00E5633B"/>
    <w:rsid w:val="00E56488"/>
    <w:rsid w:val="00E5718F"/>
    <w:rsid w:val="00E57654"/>
    <w:rsid w:val="00E5797A"/>
    <w:rsid w:val="00E57BBF"/>
    <w:rsid w:val="00E57CEB"/>
    <w:rsid w:val="00E57F59"/>
    <w:rsid w:val="00E57F9C"/>
    <w:rsid w:val="00E60058"/>
    <w:rsid w:val="00E60605"/>
    <w:rsid w:val="00E609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18"/>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5C4"/>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39"/>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1D7"/>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2A0"/>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53"/>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DD0"/>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D76"/>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5E2FA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265C2"/>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E0E35"/>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4E3859"/>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2D1E68"/>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D0FD4"/>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D31C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145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0F71E20"/>
    <w:rsid w:val="3108167F"/>
    <w:rsid w:val="31081AAA"/>
    <w:rsid w:val="3112474F"/>
    <w:rsid w:val="311C7FAB"/>
    <w:rsid w:val="311F0D23"/>
    <w:rsid w:val="311F4CEA"/>
    <w:rsid w:val="31231685"/>
    <w:rsid w:val="3125095B"/>
    <w:rsid w:val="312E70F6"/>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0706B"/>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A289F"/>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017F3"/>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31060"/>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A62"/>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56F28"/>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633E0"/>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339B7"/>
    <w:rsid w:val="4FA50BF5"/>
    <w:rsid w:val="4FAD1041"/>
    <w:rsid w:val="4FAE1C5C"/>
    <w:rsid w:val="4FAE2769"/>
    <w:rsid w:val="4FBA0D2B"/>
    <w:rsid w:val="4FBB58F3"/>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37F03"/>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35B9E"/>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660E4"/>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318C6"/>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ED0A74"/>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2E5237"/>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8410C"/>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A6512"/>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41B8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465A9"/>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86A46"/>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D0AF4"/>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951"/>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2F7A5B"/>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5E3E7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C97379"/>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E8F4557-2BF6-4480-A101-B428C898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Calibri" w:eastAsiaTheme="minorEastAsia" w:hAnsi="Calibri"/>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a0"/>
    <w:next w:val="a0"/>
    <w:link w:val="3Char"/>
    <w:uiPriority w:val="9"/>
    <w:unhideWhenUsed/>
    <w:qFormat/>
    <w:pPr>
      <w:outlineLvl w:val="2"/>
    </w:pPr>
  </w:style>
  <w:style w:type="paragraph" w:styleId="4">
    <w:name w:val="heading 4"/>
    <w:basedOn w:val="3"/>
    <w:next w:val="a0"/>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0"/>
    <w:link w:val="5Char"/>
    <w:qFormat/>
    <w:pPr>
      <w:spacing w:beforeLines="50"/>
      <w:ind w:left="718" w:hanging="576"/>
      <w:outlineLvl w:val="4"/>
    </w:pPr>
    <w:rPr>
      <w:sz w:val="24"/>
      <w:szCs w:val="24"/>
    </w:rPr>
  </w:style>
  <w:style w:type="paragraph" w:styleId="6">
    <w:name w:val="heading 6"/>
    <w:basedOn w:val="a0"/>
    <w:next w:val="a0"/>
    <w:link w:val="6Char"/>
    <w:uiPriority w:val="9"/>
    <w:unhideWhenUsed/>
    <w:qFormat/>
    <w:pPr>
      <w:keepNext/>
      <w:keepLines/>
      <w:spacing w:before="240" w:after="64" w:line="317" w:lineRule="auto"/>
      <w:ind w:left="1151" w:hanging="1151"/>
      <w:outlineLvl w:val="5"/>
    </w:pPr>
    <w:rPr>
      <w:rFonts w:ascii="Arial" w:eastAsia="黑体" w:hAnsi="Arial"/>
      <w:b/>
      <w:sz w:val="24"/>
    </w:rPr>
  </w:style>
  <w:style w:type="paragraph" w:styleId="7">
    <w:name w:val="heading 7"/>
    <w:basedOn w:val="a0"/>
    <w:next w:val="a0"/>
    <w:link w:val="7Char"/>
    <w:uiPriority w:val="9"/>
    <w:unhideWhenUsed/>
    <w:qFormat/>
    <w:pPr>
      <w:keepNext/>
      <w:keepLines/>
      <w:spacing w:before="240" w:after="64" w:line="317" w:lineRule="auto"/>
      <w:ind w:left="1296" w:hanging="1296"/>
      <w:outlineLvl w:val="6"/>
    </w:pPr>
    <w:rPr>
      <w:b/>
      <w:sz w:val="24"/>
    </w:rPr>
  </w:style>
  <w:style w:type="paragraph" w:styleId="8">
    <w:name w:val="heading 8"/>
    <w:basedOn w:val="a0"/>
    <w:next w:val="a0"/>
    <w:link w:val="8Char"/>
    <w:uiPriority w:val="9"/>
    <w:unhideWhenUsed/>
    <w:qFormat/>
    <w:pPr>
      <w:keepNext/>
      <w:keepLines/>
      <w:spacing w:before="240" w:after="64" w:line="317" w:lineRule="auto"/>
      <w:ind w:left="1440" w:hanging="1440"/>
      <w:outlineLvl w:val="7"/>
    </w:pPr>
    <w:rPr>
      <w:rFonts w:ascii="Arial" w:eastAsia="黑体" w:hAnsi="Arial"/>
      <w:sz w:val="24"/>
    </w:rPr>
  </w:style>
  <w:style w:type="paragraph" w:styleId="9">
    <w:name w:val="heading 9"/>
    <w:basedOn w:val="a0"/>
    <w:next w:val="a0"/>
    <w:link w:val="9Char"/>
    <w:uiPriority w:val="9"/>
    <w:unhideWhenUsed/>
    <w:qFormat/>
    <w:pPr>
      <w:keepNext/>
      <w:keepLines/>
      <w:spacing w:before="240" w:after="64" w:line="317" w:lineRule="auto"/>
      <w:ind w:left="1583" w:hanging="1583"/>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unhideWhenUsed/>
    <w:qFormat/>
    <w:pPr>
      <w:ind w:leftChars="400" w:left="100" w:hangingChars="200" w:hanging="200"/>
      <w:contextualSpacing/>
    </w:pPr>
  </w:style>
  <w:style w:type="paragraph" w:styleId="a4">
    <w:name w:val="Normal Indent"/>
    <w:basedOn w:val="a0"/>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0"/>
    <w:next w:val="a0"/>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
    <w:name w:val="List Bullet"/>
    <w:basedOn w:val="a0"/>
    <w:uiPriority w:val="99"/>
    <w:semiHidden/>
    <w:unhideWhenUsed/>
    <w:qFormat/>
    <w:pPr>
      <w:spacing w:before="100" w:beforeAutospacing="1" w:after="100" w:afterAutospacing="1" w:line="240" w:lineRule="auto"/>
      <w:ind w:left="360" w:hanging="360"/>
    </w:pPr>
    <w:rPr>
      <w:rFonts w:ascii="Times" w:eastAsia="Batang" w:hAnsi="Times"/>
      <w:sz w:val="24"/>
      <w:szCs w:val="24"/>
    </w:rPr>
  </w:style>
  <w:style w:type="paragraph" w:styleId="a6">
    <w:name w:val="Document Map"/>
    <w:basedOn w:val="a0"/>
    <w:link w:val="Char0"/>
    <w:uiPriority w:val="99"/>
    <w:unhideWhenUsed/>
    <w:qFormat/>
    <w:rPr>
      <w:rFonts w:ascii="宋体"/>
      <w:sz w:val="18"/>
      <w:szCs w:val="18"/>
    </w:rPr>
  </w:style>
  <w:style w:type="paragraph" w:styleId="a7">
    <w:name w:val="annotation text"/>
    <w:basedOn w:val="a0"/>
    <w:link w:val="Char1"/>
    <w:uiPriority w:val="99"/>
    <w:unhideWhenUsed/>
    <w:qFormat/>
    <w:rPr>
      <w:sz w:val="20"/>
      <w:szCs w:val="20"/>
    </w:rPr>
  </w:style>
  <w:style w:type="paragraph" w:styleId="a8">
    <w:name w:val="Body Text"/>
    <w:basedOn w:val="a0"/>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0"/>
    <w:link w:val="Char3"/>
    <w:uiPriority w:val="99"/>
    <w:unhideWhenUsed/>
    <w:qFormat/>
    <w:pPr>
      <w:spacing w:after="120"/>
      <w:ind w:left="360"/>
    </w:pPr>
  </w:style>
  <w:style w:type="paragraph" w:styleId="20">
    <w:name w:val="List 2"/>
    <w:basedOn w:val="aa"/>
    <w:uiPriority w:val="99"/>
    <w:unhideWhenUsed/>
    <w:qFormat/>
    <w:pPr>
      <w:ind w:leftChars="200" w:left="100" w:hangingChars="200" w:hanging="200"/>
      <w:contextualSpacing/>
    </w:pPr>
  </w:style>
  <w:style w:type="paragraph" w:styleId="aa">
    <w:name w:val="List"/>
    <w:basedOn w:val="a0"/>
    <w:uiPriority w:val="99"/>
    <w:unhideWhenUsed/>
    <w:qFormat/>
    <w:pPr>
      <w:ind w:left="568" w:hanging="284"/>
    </w:pPr>
  </w:style>
  <w:style w:type="paragraph" w:styleId="ab">
    <w:name w:val="Plain Text"/>
    <w:basedOn w:val="a0"/>
    <w:link w:val="Char4"/>
    <w:uiPriority w:val="99"/>
    <w:unhideWhenUsed/>
    <w:qFormat/>
    <w:pPr>
      <w:spacing w:after="0" w:line="240" w:lineRule="auto"/>
    </w:pPr>
    <w:rPr>
      <w:rFonts w:eastAsia="Calibri"/>
      <w:szCs w:val="21"/>
      <w:lang w:val="en-GB" w:eastAsia="en-US"/>
    </w:rPr>
  </w:style>
  <w:style w:type="paragraph" w:styleId="ac">
    <w:name w:val="Date"/>
    <w:basedOn w:val="a0"/>
    <w:next w:val="a0"/>
    <w:link w:val="Char5"/>
    <w:uiPriority w:val="99"/>
    <w:unhideWhenUsed/>
    <w:qFormat/>
    <w:pPr>
      <w:ind w:leftChars="2500" w:left="100"/>
    </w:pPr>
  </w:style>
  <w:style w:type="paragraph" w:styleId="ad">
    <w:name w:val="Balloon Text"/>
    <w:basedOn w:val="a0"/>
    <w:link w:val="Char6"/>
    <w:uiPriority w:val="99"/>
    <w:unhideWhenUsed/>
    <w:qFormat/>
    <w:pPr>
      <w:spacing w:after="0" w:line="240" w:lineRule="auto"/>
    </w:pPr>
    <w:rPr>
      <w:rFonts w:ascii="Tahoma" w:hAnsi="Tahoma"/>
      <w:sz w:val="16"/>
      <w:szCs w:val="16"/>
    </w:rPr>
  </w:style>
  <w:style w:type="paragraph" w:styleId="ae">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2"/>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uiPriority w:val="99"/>
    <w:unhideWhenUsed/>
    <w:qFormat/>
    <w:rPr>
      <w:rFonts w:hint="default"/>
      <w:sz w:val="24"/>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Char6">
    <w:name w:val="批注框文本 Char"/>
    <w:link w:val="ad"/>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1"/>
    <w:link w:val="a7"/>
    <w:uiPriority w:val="99"/>
    <w:qFormat/>
  </w:style>
  <w:style w:type="character" w:customStyle="1" w:styleId="Char9">
    <w:name w:val="批注主题 Char"/>
    <w:link w:val="af1"/>
    <w:uiPriority w:val="99"/>
    <w:semiHidden/>
    <w:qFormat/>
    <w:rPr>
      <w:b/>
      <w:bCs/>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paragraph" w:customStyle="1" w:styleId="af7">
    <w:name w:val="表格文字居左"/>
    <w:basedOn w:val="a0"/>
    <w:next w:val="a0"/>
    <w:qFormat/>
    <w:pPr>
      <w:widowControl w:val="0"/>
      <w:spacing w:after="0" w:line="240" w:lineRule="auto"/>
      <w:jc w:val="both"/>
    </w:pPr>
    <w:rPr>
      <w:rFonts w:ascii="Arial" w:hAnsi="Arial" w:cs="宋体"/>
      <w:kern w:val="2"/>
      <w:sz w:val="21"/>
      <w:szCs w:val="20"/>
    </w:rPr>
  </w:style>
  <w:style w:type="character" w:customStyle="1" w:styleId="Char7">
    <w:name w:val="页脚 Char"/>
    <w:link w:val="ae"/>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c"/>
    <w:uiPriority w:val="99"/>
    <w:semiHidden/>
    <w:qFormat/>
    <w:rPr>
      <w:sz w:val="22"/>
      <w:szCs w:val="22"/>
    </w:rPr>
  </w:style>
  <w:style w:type="paragraph" w:customStyle="1" w:styleId="ListParagraph1">
    <w:name w:val="List Paragraph1"/>
    <w:basedOn w:val="a0"/>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b"/>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paragraph" w:customStyle="1" w:styleId="TH">
    <w:name w:val="TH"/>
    <w:basedOn w:val="a0"/>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1"/>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1"/>
    <w:link w:val="a9"/>
    <w:uiPriority w:val="99"/>
    <w:semiHidden/>
    <w:qFormat/>
    <w:rPr>
      <w:sz w:val="22"/>
      <w:szCs w:val="22"/>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0"/>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0"/>
    <w:uiPriority w:val="34"/>
    <w:qFormat/>
    <w:pPr>
      <w:ind w:leftChars="400" w:left="840"/>
    </w:pPr>
  </w:style>
  <w:style w:type="paragraph" w:customStyle="1" w:styleId="10">
    <w:name w:val="列出段落1"/>
    <w:basedOn w:val="a0"/>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a"/>
    <w:link w:val="B10"/>
    <w:uiPriority w:val="99"/>
    <w:qFormat/>
  </w:style>
  <w:style w:type="paragraph" w:customStyle="1" w:styleId="EQ">
    <w:name w:val="EQ"/>
    <w:basedOn w:val="a0"/>
    <w:next w:val="a0"/>
    <w:unhideWhenUsed/>
    <w:qFormat/>
    <w:pPr>
      <w:keepLines/>
      <w:tabs>
        <w:tab w:val="center" w:pos="4536"/>
        <w:tab w:val="right" w:pos="9072"/>
      </w:tabs>
    </w:pPr>
    <w:rPr>
      <w:sz w:val="24"/>
    </w:rPr>
  </w:style>
  <w:style w:type="paragraph" w:customStyle="1" w:styleId="ListParagraph2">
    <w:name w:val="List Paragraph2"/>
    <w:basedOn w:val="a0"/>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0"/>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paragraph" w:customStyle="1" w:styleId="NO">
    <w:name w:val="NO"/>
    <w:basedOn w:val="a0"/>
    <w:qFormat/>
    <w:pPr>
      <w:keepLines/>
      <w:ind w:left="1135" w:hanging="851"/>
    </w:pPr>
  </w:style>
  <w:style w:type="paragraph" w:styleId="af9">
    <w:name w:val="List Paragraph"/>
    <w:basedOn w:val="a0"/>
    <w:uiPriority w:val="34"/>
    <w:qFormat/>
    <w:pPr>
      <w:ind w:left="720"/>
      <w:contextualSpacing/>
    </w:pPr>
  </w:style>
  <w:style w:type="paragraph" w:customStyle="1" w:styleId="0maintext">
    <w:name w:val="0maintext"/>
    <w:basedOn w:val="a0"/>
    <w:qFormat/>
    <w:rPr>
      <w:rFonts w:ascii="Times New Roman" w:hAnsi="Times New Roman"/>
      <w:sz w:val="16"/>
      <w:szCs w:val="24"/>
    </w:rPr>
  </w:style>
  <w:style w:type="character" w:customStyle="1" w:styleId="TALChar">
    <w:name w:val="TAL Char"/>
    <w:link w:val="TAL"/>
    <w:qFormat/>
    <w:rPr>
      <w:rFonts w:ascii="Arial" w:eastAsiaTheme="minorEastAsia" w:hAnsi="Arial"/>
      <w:sz w:val="18"/>
      <w:szCs w:val="22"/>
    </w:rPr>
  </w:style>
  <w:style w:type="paragraph" w:customStyle="1" w:styleId="afa">
    <w:name w:val="목록 단락"/>
    <w:basedOn w:val="a0"/>
    <w:qFormat/>
    <w:pPr>
      <w:spacing w:before="100" w:beforeAutospacing="1" w:after="100" w:afterAutospacing="1" w:line="240" w:lineRule="auto"/>
      <w:ind w:leftChars="400" w:left="840"/>
    </w:pPr>
    <w:rPr>
      <w:rFonts w:ascii="Times" w:eastAsia="Batang" w:hAnsi="Times" w:cs="Times"/>
      <w:sz w:val="24"/>
      <w:szCs w:val="24"/>
    </w:rPr>
  </w:style>
  <w:style w:type="paragraph" w:customStyle="1" w:styleId="11">
    <w:name w:val="正文1"/>
    <w:qFormat/>
    <w:pPr>
      <w:jc w:val="both"/>
    </w:pPr>
    <w:rPr>
      <w:rFonts w:ascii="宋体" w:hAnsi="宋体" w:cs="宋体"/>
      <w:kern w:val="2"/>
      <w:sz w:val="21"/>
      <w:szCs w:val="21"/>
    </w:rPr>
  </w:style>
  <w:style w:type="paragraph" w:customStyle="1" w:styleId="3GPPText">
    <w:name w:val="3GPP Text"/>
    <w:basedOn w:val="a0"/>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ListParagraph4">
    <w:name w:val="List Paragraph4"/>
    <w:basedOn w:val="a0"/>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character" w:customStyle="1" w:styleId="6Char">
    <w:name w:val="标题 6 Char"/>
    <w:basedOn w:val="a1"/>
    <w:link w:val="6"/>
    <w:uiPriority w:val="9"/>
    <w:qFormat/>
    <w:rPr>
      <w:rFonts w:ascii="Arial" w:eastAsia="黑体" w:hAnsi="Arial"/>
      <w:b/>
      <w:sz w:val="24"/>
      <w:szCs w:val="22"/>
    </w:rPr>
  </w:style>
  <w:style w:type="character" w:customStyle="1" w:styleId="7Char">
    <w:name w:val="标题 7 Char"/>
    <w:basedOn w:val="a1"/>
    <w:link w:val="7"/>
    <w:uiPriority w:val="9"/>
    <w:qFormat/>
    <w:rPr>
      <w:rFonts w:ascii="Calibri" w:eastAsiaTheme="minorEastAsia" w:hAnsi="Calibri"/>
      <w:b/>
      <w:sz w:val="24"/>
      <w:szCs w:val="22"/>
    </w:rPr>
  </w:style>
  <w:style w:type="character" w:customStyle="1" w:styleId="8Char">
    <w:name w:val="标题 8 Char"/>
    <w:basedOn w:val="a1"/>
    <w:link w:val="8"/>
    <w:uiPriority w:val="9"/>
    <w:qFormat/>
    <w:rPr>
      <w:rFonts w:ascii="Arial" w:eastAsia="黑体" w:hAnsi="Arial"/>
      <w:sz w:val="24"/>
      <w:szCs w:val="22"/>
    </w:rPr>
  </w:style>
  <w:style w:type="character" w:customStyle="1" w:styleId="9Char">
    <w:name w:val="标题 9 Char"/>
    <w:basedOn w:val="a1"/>
    <w:link w:val="9"/>
    <w:uiPriority w:val="9"/>
    <w:qFormat/>
    <w:rPr>
      <w:rFonts w:ascii="Arial" w:eastAsia="黑体" w:hAnsi="Arial"/>
      <w:sz w:val="21"/>
      <w:szCs w:val="22"/>
    </w:rPr>
  </w:style>
  <w:style w:type="paragraph" w:customStyle="1" w:styleId="NoSpacing1">
    <w:name w:val="No Spacing1"/>
    <w:uiPriority w:val="1"/>
    <w:qFormat/>
    <w:rsid w:val="004E46C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EEC3E-7516-4F3D-ADF3-9FFFDA1E9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979</Words>
  <Characters>5582</Characters>
  <Application>Microsoft Office Word</Application>
  <DocSecurity>0</DocSecurity>
  <Lines>46</Lines>
  <Paragraphs>13</Paragraphs>
  <ScaleCrop>false</ScaleCrop>
  <Company>ZTE</Company>
  <LinksUpToDate>false</LinksUpToDate>
  <CharactersWithSpaces>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156</cp:revision>
  <dcterms:created xsi:type="dcterms:W3CDTF">2022-04-12T07:59:00Z</dcterms:created>
  <dcterms:modified xsi:type="dcterms:W3CDTF">2022-04-24T08:48:00Z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